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605B3" w14:textId="384B157E" w:rsidR="00A6290A" w:rsidRDefault="00967D70" w:rsidP="008F634C">
      <w:pPr>
        <w:pStyle w:val="Heading1"/>
        <w:jc w:val="center"/>
      </w:pPr>
      <w:r>
        <w:rPr>
          <w:noProof/>
          <w:lang w:val="en-GB" w:eastAsia="en-GB"/>
        </w:rPr>
        <w:drawing>
          <wp:anchor distT="0" distB="0" distL="114300" distR="114300" simplePos="0" relativeHeight="251658240" behindDoc="0" locked="0" layoutInCell="1" allowOverlap="1" wp14:anchorId="422AFAC6" wp14:editId="3384441D">
            <wp:simplePos x="0" y="0"/>
            <wp:positionH relativeFrom="column">
              <wp:posOffset>4629644</wp:posOffset>
            </wp:positionH>
            <wp:positionV relativeFrom="paragraph">
              <wp:posOffset>-748030</wp:posOffset>
            </wp:positionV>
            <wp:extent cx="1625908" cy="9461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960" cy="947926"/>
                    </a:xfrm>
                    <a:prstGeom prst="rect">
                      <a:avLst/>
                    </a:prstGeom>
                  </pic:spPr>
                </pic:pic>
              </a:graphicData>
            </a:graphic>
            <wp14:sizeRelH relativeFrom="margin">
              <wp14:pctWidth>0</wp14:pctWidth>
            </wp14:sizeRelH>
            <wp14:sizeRelV relativeFrom="margin">
              <wp14:pctHeight>0</wp14:pctHeight>
            </wp14:sizeRelV>
          </wp:anchor>
        </w:drawing>
      </w:r>
      <w:r w:rsidR="00574187">
        <w:t>Advice Note</w:t>
      </w:r>
      <w:r w:rsidR="00B3733C" w:rsidRPr="00B3733C">
        <w:t xml:space="preserve"> </w:t>
      </w:r>
      <w:r w:rsidR="00B3733C">
        <w:t>on</w:t>
      </w:r>
      <w:r w:rsidR="00B3733C" w:rsidRPr="00B3733C">
        <w:t xml:space="preserve"> the </w:t>
      </w:r>
      <w:r w:rsidR="00313CC1">
        <w:t>C</w:t>
      </w:r>
      <w:r w:rsidR="00B3733C" w:rsidRPr="00B3733C">
        <w:t>arriage of e-</w:t>
      </w:r>
      <w:r w:rsidR="00313CC1">
        <w:t>S</w:t>
      </w:r>
      <w:r w:rsidR="00B3733C" w:rsidRPr="00B3733C">
        <w:t xml:space="preserve">cooters on </w:t>
      </w:r>
      <w:r w:rsidR="00313CC1">
        <w:t>P</w:t>
      </w:r>
      <w:r w:rsidR="00B3733C" w:rsidRPr="00B3733C">
        <w:t xml:space="preserve">ublic </w:t>
      </w:r>
      <w:r w:rsidR="00313CC1">
        <w:t>T</w:t>
      </w:r>
      <w:r w:rsidR="00B3733C" w:rsidRPr="00B3733C">
        <w:t>ransport</w:t>
      </w:r>
    </w:p>
    <w:p w14:paraId="34EEE1A3" w14:textId="0C1C062C" w:rsidR="00967D70" w:rsidRPr="00967D70" w:rsidRDefault="00967D70" w:rsidP="00967D70">
      <w:pPr>
        <w:pStyle w:val="Heading1"/>
        <w:spacing w:before="0"/>
        <w:jc w:val="center"/>
      </w:pPr>
      <w:r>
        <w:t>(</w:t>
      </w:r>
      <w:r w:rsidR="00C3704C">
        <w:t>August</w:t>
      </w:r>
      <w:r>
        <w:t xml:space="preserve"> 2024)</w:t>
      </w:r>
    </w:p>
    <w:p w14:paraId="51E4A369" w14:textId="77777777" w:rsidR="00456DC2" w:rsidRDefault="00456DC2" w:rsidP="00456DC2">
      <w:pPr>
        <w:pStyle w:val="Heading2"/>
      </w:pPr>
      <w:r>
        <w:t>Introduction</w:t>
      </w:r>
    </w:p>
    <w:p w14:paraId="5E96B5A7" w14:textId="76458054" w:rsidR="00B3733C" w:rsidRDefault="00B3733C" w:rsidP="00D51175">
      <w:pPr>
        <w:rPr>
          <w:b/>
          <w:bCs/>
        </w:rPr>
      </w:pPr>
      <w:r w:rsidRPr="00B3733C">
        <w:t xml:space="preserve">The Road Traffic and Roads Act 2023, enacted </w:t>
      </w:r>
      <w:r w:rsidR="00D51175">
        <w:t>in</w:t>
      </w:r>
      <w:r w:rsidRPr="00B3733C">
        <w:t xml:space="preserve"> June 2023, introduced a new class of vehicle called Personal Powered Transporters (PPTs)</w:t>
      </w:r>
      <w:r w:rsidR="00412D95">
        <w:t>,</w:t>
      </w:r>
      <w:r w:rsidRPr="00B3733C">
        <w:t xml:space="preserve"> with a view to facilitating the </w:t>
      </w:r>
      <w:r w:rsidR="00412D95">
        <w:t xml:space="preserve">greater </w:t>
      </w:r>
      <w:r w:rsidRPr="00B3733C">
        <w:t xml:space="preserve">use of e-scooters and </w:t>
      </w:r>
      <w:r w:rsidR="00412D95">
        <w:t>other</w:t>
      </w:r>
      <w:r w:rsidRPr="00B3733C">
        <w:t xml:space="preserve"> micro-mobility devices, where such devices comply with regulations made under the Act.   </w:t>
      </w:r>
      <w:r w:rsidR="00D51175">
        <w:t xml:space="preserve">Under the particular legislation, there is no requirement for </w:t>
      </w:r>
      <w:r w:rsidRPr="00B3733C">
        <w:t xml:space="preserve">PPTs </w:t>
      </w:r>
      <w:r w:rsidR="00D51175">
        <w:t>which comply with the prescribed standards</w:t>
      </w:r>
      <w:r w:rsidR="00412D95">
        <w:t>,</w:t>
      </w:r>
      <w:r w:rsidR="00D51175">
        <w:t xml:space="preserve"> to be subject to registration or motor taxation and the operators of such devices </w:t>
      </w:r>
      <w:r w:rsidR="00040067">
        <w:t>are</w:t>
      </w:r>
      <w:r w:rsidRPr="00B3733C">
        <w:t xml:space="preserve"> not </w:t>
      </w:r>
      <w:r w:rsidR="00040067">
        <w:t>required to have</w:t>
      </w:r>
      <w:r w:rsidRPr="00B3733C">
        <w:t xml:space="preserve"> </w:t>
      </w:r>
      <w:r w:rsidR="00040067" w:rsidRPr="00040067">
        <w:t xml:space="preserve">a driving license </w:t>
      </w:r>
      <w:r w:rsidR="00040067">
        <w:t>or</w:t>
      </w:r>
      <w:r w:rsidR="00040067" w:rsidRPr="00040067">
        <w:t xml:space="preserve"> </w:t>
      </w:r>
      <w:r w:rsidRPr="00B3733C">
        <w:t xml:space="preserve">insurance </w:t>
      </w:r>
      <w:r w:rsidR="00040067">
        <w:t>for their</w:t>
      </w:r>
      <w:r w:rsidRPr="00B3733C">
        <w:t xml:space="preserve"> use on Irish roads. The </w:t>
      </w:r>
      <w:r w:rsidR="00040067">
        <w:t xml:space="preserve">relevant legislation specifies limits on the </w:t>
      </w:r>
      <w:r w:rsidRPr="00B3733C">
        <w:t xml:space="preserve">power, weight, and </w:t>
      </w:r>
      <w:r w:rsidR="00040067">
        <w:t xml:space="preserve">maximum operational </w:t>
      </w:r>
      <w:r w:rsidRPr="00B3733C">
        <w:t xml:space="preserve">speed of PPTs. </w:t>
      </w:r>
      <w:r w:rsidR="00412D95">
        <w:t xml:space="preserve">  The legalisation of the use of these types of vehicles has prompted the need to review the implication of their carriage on public transport services.</w:t>
      </w:r>
    </w:p>
    <w:p w14:paraId="615D91F0" w14:textId="54CF6999" w:rsidR="00B3733C" w:rsidRPr="00B3733C" w:rsidRDefault="00B3733C" w:rsidP="00B3733C">
      <w:pPr>
        <w:pStyle w:val="Heading2"/>
      </w:pPr>
      <w:r>
        <w:t>Potential Risks</w:t>
      </w:r>
    </w:p>
    <w:p w14:paraId="0A0720F6" w14:textId="224CC47C" w:rsidR="00917891" w:rsidRDefault="00040067" w:rsidP="00D51175">
      <w:r>
        <w:t>As micro-mobility devices operated by electrical power become more common</w:t>
      </w:r>
      <w:r w:rsidR="00917891">
        <w:t>place</w:t>
      </w:r>
      <w:r>
        <w:t xml:space="preserve"> across the world, there is considerable evidence of such vehicles posing a potential </w:t>
      </w:r>
      <w:r w:rsidR="00917891">
        <w:t>serious</w:t>
      </w:r>
      <w:r>
        <w:t xml:space="preserve"> risk in certain circumstances.  In particular</w:t>
      </w:r>
      <w:r w:rsidR="00917891">
        <w:t>,</w:t>
      </w:r>
      <w:r>
        <w:t xml:space="preserve"> </w:t>
      </w:r>
      <w:r w:rsidR="00574187" w:rsidRPr="00574187">
        <w:t>lithium-ion batteries</w:t>
      </w:r>
      <w:r>
        <w:t>,</w:t>
      </w:r>
      <w:r w:rsidRPr="00040067">
        <w:t xml:space="preserve"> </w:t>
      </w:r>
      <w:r>
        <w:t>which are</w:t>
      </w:r>
      <w:r w:rsidRPr="00040067">
        <w:t xml:space="preserve"> commonplace in </w:t>
      </w:r>
      <w:r>
        <w:t xml:space="preserve">such devices, </w:t>
      </w:r>
      <w:r w:rsidR="00917891">
        <w:t>can develop internal f</w:t>
      </w:r>
      <w:r>
        <w:t xml:space="preserve">aults, leading to </w:t>
      </w:r>
      <w:r w:rsidR="00917891">
        <w:t xml:space="preserve">what is known as </w:t>
      </w:r>
      <w:r w:rsidRPr="00040067">
        <w:t>‘</w:t>
      </w:r>
      <w:r w:rsidRPr="00967D70">
        <w:rPr>
          <w:i/>
        </w:rPr>
        <w:t>thermal runaway</w:t>
      </w:r>
      <w:r w:rsidRPr="00040067">
        <w:t>’</w:t>
      </w:r>
      <w:r w:rsidR="00917891">
        <w:t>,</w:t>
      </w:r>
      <w:r w:rsidRPr="00040067">
        <w:t xml:space="preserve"> whereby </w:t>
      </w:r>
      <w:r w:rsidR="00917891">
        <w:t xml:space="preserve">the battery becomes overheated </w:t>
      </w:r>
      <w:r w:rsidRPr="00040067">
        <w:t>lead</w:t>
      </w:r>
      <w:r w:rsidR="00917891">
        <w:t>ing</w:t>
      </w:r>
      <w:r w:rsidRPr="00040067">
        <w:t xml:space="preserve"> to higher and higher temperatures and </w:t>
      </w:r>
      <w:r w:rsidR="00917891">
        <w:t>potentially</w:t>
      </w:r>
      <w:r w:rsidRPr="00040067">
        <w:t xml:space="preserve"> result</w:t>
      </w:r>
      <w:r w:rsidR="00917891">
        <w:t>ing</w:t>
      </w:r>
      <w:r w:rsidRPr="00040067">
        <w:t xml:space="preserve"> </w:t>
      </w:r>
      <w:r w:rsidR="00917891">
        <w:t xml:space="preserve">in the emission of toxic fumes, </w:t>
      </w:r>
      <w:r w:rsidR="00917891" w:rsidRPr="00917891">
        <w:t>extreme heat, fire and potentially explosion.</w:t>
      </w:r>
      <w:r w:rsidR="007F2DAE">
        <w:t xml:space="preserve">  </w:t>
      </w:r>
      <w:r w:rsidR="00412D95">
        <w:t>L</w:t>
      </w:r>
      <w:r w:rsidR="00574187" w:rsidRPr="00574187">
        <w:t xml:space="preserve">ithium-ion batteries </w:t>
      </w:r>
      <w:r w:rsidR="007F2DAE">
        <w:t>fires</w:t>
      </w:r>
      <w:r w:rsidR="007F2DAE" w:rsidRPr="007F2DAE">
        <w:t xml:space="preserve"> </w:t>
      </w:r>
      <w:r w:rsidR="00917891">
        <w:t>burn hotter - between 1000</w:t>
      </w:r>
      <w:r w:rsidR="007F2DAE" w:rsidRPr="007F2DAE">
        <w:rPr>
          <w:vertAlign w:val="superscript"/>
        </w:rPr>
        <w:t>o</w:t>
      </w:r>
      <w:r w:rsidR="00917891">
        <w:t>C and 2000</w:t>
      </w:r>
      <w:r w:rsidR="007F2DAE" w:rsidRPr="007F2DAE">
        <w:rPr>
          <w:vertAlign w:val="superscript"/>
        </w:rPr>
        <w:t>o</w:t>
      </w:r>
      <w:r w:rsidR="00917891">
        <w:t>C</w:t>
      </w:r>
      <w:r w:rsidR="007F2DAE">
        <w:t xml:space="preserve"> -</w:t>
      </w:r>
      <w:r w:rsidR="00917891">
        <w:t xml:space="preserve"> than </w:t>
      </w:r>
      <w:r w:rsidR="00575535">
        <w:t>those involving</w:t>
      </w:r>
      <w:r w:rsidR="00917891">
        <w:t xml:space="preserve"> conventional materials and are </w:t>
      </w:r>
      <w:r w:rsidR="00412D95">
        <w:t xml:space="preserve">particularly </w:t>
      </w:r>
      <w:r w:rsidR="007F2DAE">
        <w:t>difficult</w:t>
      </w:r>
      <w:r w:rsidR="00917891">
        <w:t xml:space="preserve"> to extinguish. </w:t>
      </w:r>
    </w:p>
    <w:p w14:paraId="0FC2CA6A" w14:textId="1875FBB2" w:rsidR="007F2DAE" w:rsidRDefault="00A62D8C" w:rsidP="00D51175">
      <w:r>
        <w:rPr>
          <w:noProof/>
          <w:lang w:val="en-GB" w:eastAsia="en-GB"/>
        </w:rPr>
        <w:drawing>
          <wp:anchor distT="0" distB="0" distL="114300" distR="114300" simplePos="0" relativeHeight="251660288" behindDoc="0" locked="0" layoutInCell="1" allowOverlap="1" wp14:anchorId="606776F0" wp14:editId="3D862DBB">
            <wp:simplePos x="0" y="0"/>
            <wp:positionH relativeFrom="column">
              <wp:posOffset>-5080</wp:posOffset>
            </wp:positionH>
            <wp:positionV relativeFrom="paragraph">
              <wp:posOffset>892810</wp:posOffset>
            </wp:positionV>
            <wp:extent cx="3410411" cy="1917700"/>
            <wp:effectExtent l="0" t="0" r="0" b="635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0411" cy="1917700"/>
                    </a:xfrm>
                    <a:prstGeom prst="rect">
                      <a:avLst/>
                    </a:prstGeom>
                  </pic:spPr>
                </pic:pic>
              </a:graphicData>
            </a:graphic>
          </wp:anchor>
        </w:drawing>
      </w:r>
      <w:r w:rsidR="00917891">
        <w:t xml:space="preserve">There have been a number of such events on public transport vehicles, where </w:t>
      </w:r>
      <w:r w:rsidR="00574187" w:rsidRPr="00574187">
        <w:t xml:space="preserve">lithium-ion batteries </w:t>
      </w:r>
      <w:r w:rsidR="00917891">
        <w:t xml:space="preserve">have ignited on micro-mobility devices being carried on such services.  While there has been no known recorded loss of life due to such events, a number of the incidents have resulted in </w:t>
      </w:r>
      <w:r w:rsidR="007F2DAE">
        <w:t xml:space="preserve">injuries and </w:t>
      </w:r>
      <w:r w:rsidR="00917891">
        <w:t>major amounts of damage</w:t>
      </w:r>
      <w:r w:rsidR="007F2DAE">
        <w:t xml:space="preserve">, including complete loss of rail carriages.   </w:t>
      </w:r>
    </w:p>
    <w:p w14:paraId="4D5A903C" w14:textId="01459DFB" w:rsidR="00A62D8C" w:rsidRDefault="00A62D8C" w:rsidP="00D51175">
      <w:r>
        <w:rPr>
          <w:noProof/>
          <w:lang w:val="en-GB" w:eastAsia="en-GB"/>
        </w:rPr>
        <w:drawing>
          <wp:anchor distT="0" distB="0" distL="114300" distR="114300" simplePos="0" relativeHeight="251659264" behindDoc="0" locked="0" layoutInCell="1" allowOverlap="1" wp14:anchorId="462FE29A" wp14:editId="055BF814">
            <wp:simplePos x="0" y="0"/>
            <wp:positionH relativeFrom="column">
              <wp:posOffset>3464560</wp:posOffset>
            </wp:positionH>
            <wp:positionV relativeFrom="paragraph">
              <wp:posOffset>120650</wp:posOffset>
            </wp:positionV>
            <wp:extent cx="2674455" cy="2743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4455" cy="2743200"/>
                    </a:xfrm>
                    <a:prstGeom prst="rect">
                      <a:avLst/>
                    </a:prstGeom>
                    <a:noFill/>
                  </pic:spPr>
                </pic:pic>
              </a:graphicData>
            </a:graphic>
            <wp14:sizeRelH relativeFrom="margin">
              <wp14:pctWidth>0</wp14:pctWidth>
            </wp14:sizeRelH>
            <wp14:sizeRelV relativeFrom="margin">
              <wp14:pctHeight>0</wp14:pctHeight>
            </wp14:sizeRelV>
          </wp:anchor>
        </w:drawing>
      </w:r>
    </w:p>
    <w:p w14:paraId="65A8F5F9" w14:textId="021CF54F" w:rsidR="00A62D8C" w:rsidRDefault="00A62D8C" w:rsidP="00D51175"/>
    <w:p w14:paraId="46165D29" w14:textId="537A3933" w:rsidR="009C6134" w:rsidRDefault="009C6134" w:rsidP="00D51175"/>
    <w:p w14:paraId="12F13910" w14:textId="1FA2D2DC" w:rsidR="00A62D8C" w:rsidRDefault="00A62D8C" w:rsidP="00D51175"/>
    <w:p w14:paraId="447FFC5E" w14:textId="46C806DF" w:rsidR="00A62D8C" w:rsidRDefault="00A62D8C" w:rsidP="00D51175"/>
    <w:p w14:paraId="02BC6418" w14:textId="32B0B15C" w:rsidR="00A62D8C" w:rsidRDefault="00A62D8C" w:rsidP="00D51175"/>
    <w:p w14:paraId="3F90F222" w14:textId="0E3A1518" w:rsidR="00A62D8C" w:rsidRDefault="00A62D8C" w:rsidP="00D51175"/>
    <w:p w14:paraId="6547E21A" w14:textId="29342085" w:rsidR="00A62D8C" w:rsidRDefault="00A62D8C" w:rsidP="00A62D8C">
      <w:pPr>
        <w:ind w:left="709" w:right="4394"/>
        <w:rPr>
          <w:i/>
          <w:sz w:val="20"/>
        </w:rPr>
      </w:pPr>
      <w:r w:rsidRPr="00A62D8C">
        <w:rPr>
          <w:i/>
          <w:sz w:val="20"/>
        </w:rPr>
        <w:t xml:space="preserve">Madrid, October 2023 </w:t>
      </w:r>
      <w:r>
        <w:rPr>
          <w:i/>
          <w:sz w:val="20"/>
        </w:rPr>
        <w:t>- R</w:t>
      </w:r>
      <w:r w:rsidRPr="00A62D8C">
        <w:rPr>
          <w:i/>
          <w:sz w:val="20"/>
        </w:rPr>
        <w:t xml:space="preserve">ail carriage </w:t>
      </w:r>
      <w:r>
        <w:rPr>
          <w:i/>
          <w:sz w:val="20"/>
        </w:rPr>
        <w:t>following a fire caused by an e-scooter battery.</w:t>
      </w:r>
    </w:p>
    <w:p w14:paraId="278BBAFF" w14:textId="57CE7EC7" w:rsidR="007F2DAE" w:rsidRDefault="00575535" w:rsidP="00575535">
      <w:pPr>
        <w:pStyle w:val="Heading2"/>
      </w:pPr>
      <w:r>
        <w:lastRenderedPageBreak/>
        <w:t>International Practice</w:t>
      </w:r>
    </w:p>
    <w:p w14:paraId="27E26B64" w14:textId="1DF1C825" w:rsidR="00575535" w:rsidRDefault="00575535" w:rsidP="00D51175">
      <w:r>
        <w:t>As this is an issue impacting public transport operations around the world, various jurisdictions have developed policy positions in response.  As this is an evolving area, there are varying approaches by different authorities</w:t>
      </w:r>
      <w:r w:rsidR="00412D95">
        <w:t xml:space="preserve"> and a singular consistent approach is not yet evident. </w:t>
      </w:r>
      <w:r>
        <w:t xml:space="preserve">  The table </w:t>
      </w:r>
      <w:r w:rsidR="009C6134">
        <w:t>below</w:t>
      </w:r>
      <w:r>
        <w:t xml:space="preserve"> shows a snapshot of the arrangements in place in a number of ci</w:t>
      </w:r>
      <w:r w:rsidR="00CC2299">
        <w:t xml:space="preserve">ties as of </w:t>
      </w:r>
      <w:r w:rsidR="00C3704C">
        <w:t>June of this</w:t>
      </w:r>
      <w:r w:rsidR="00CC2299">
        <w:t xml:space="preserve"> year, with red colouring representing prohibitions.</w:t>
      </w:r>
    </w:p>
    <w:p w14:paraId="22C4D8DC" w14:textId="398B13D7" w:rsidR="00575535" w:rsidRDefault="00C3704C" w:rsidP="00D51175">
      <w:r>
        <w:rPr>
          <w:noProof/>
          <w:lang w:eastAsia="en-GB"/>
        </w:rPr>
        <w:drawing>
          <wp:inline distT="0" distB="0" distL="0" distR="0" wp14:anchorId="2784E3AB" wp14:editId="301ED251">
            <wp:extent cx="5679814" cy="2140527"/>
            <wp:effectExtent l="0" t="0" r="0" b="0"/>
            <wp:docPr id="36041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304" cy="2146365"/>
                    </a:xfrm>
                    <a:prstGeom prst="rect">
                      <a:avLst/>
                    </a:prstGeom>
                    <a:noFill/>
                  </pic:spPr>
                </pic:pic>
              </a:graphicData>
            </a:graphic>
          </wp:inline>
        </w:drawing>
      </w:r>
    </w:p>
    <w:p w14:paraId="660B051E" w14:textId="6A441B31" w:rsidR="00CC2299" w:rsidRDefault="00CC2299" w:rsidP="0099512D">
      <w:pPr>
        <w:pStyle w:val="Heading2"/>
      </w:pPr>
      <w:r>
        <w:t>E-Scooters Risk</w:t>
      </w:r>
    </w:p>
    <w:p w14:paraId="29211A90" w14:textId="3DCFB12F" w:rsidR="00CC2299" w:rsidRDefault="00CC2299" w:rsidP="00D51175">
      <w:r>
        <w:t>As can be seen from the table above, in many jurisdictions there is a differentiation between e-scooters and other electric mobility devices such as e-bikes.</w:t>
      </w:r>
    </w:p>
    <w:p w14:paraId="750E1042" w14:textId="5D111FD9" w:rsidR="00CC2299" w:rsidRDefault="00CC2299" w:rsidP="00D51175">
      <w:r>
        <w:t>This is because there is a growing level of evidence that there</w:t>
      </w:r>
      <w:r w:rsidR="00B3733C" w:rsidRPr="00B3733C">
        <w:t xml:space="preserve"> is a greater risk of fire or explosion of components of e-scooters when compared to other PPTs. This risk is </w:t>
      </w:r>
      <w:r w:rsidR="00412D95">
        <w:t xml:space="preserve">mainly </w:t>
      </w:r>
      <w:r w:rsidR="00B3733C" w:rsidRPr="00B3733C">
        <w:t>due to the following factors:</w:t>
      </w:r>
      <w:r w:rsidR="00917891">
        <w:t xml:space="preserve"> </w:t>
      </w:r>
    </w:p>
    <w:p w14:paraId="2F8BBE84" w14:textId="175D17AE" w:rsidR="00263573" w:rsidRDefault="00B3733C" w:rsidP="0099512D">
      <w:pPr>
        <w:pStyle w:val="ListParagraph"/>
        <w:numPr>
          <w:ilvl w:val="0"/>
          <w:numId w:val="4"/>
        </w:numPr>
      </w:pPr>
      <w:r w:rsidRPr="00B3733C">
        <w:t xml:space="preserve">the position of the batteries at the bottom of the </w:t>
      </w:r>
      <w:r w:rsidR="00412D95">
        <w:t xml:space="preserve">e-scooter </w:t>
      </w:r>
      <w:r w:rsidRPr="00B3733C">
        <w:t>platform makes them more prone to physical damage</w:t>
      </w:r>
      <w:r w:rsidR="005D56D2">
        <w:t xml:space="preserve"> than</w:t>
      </w:r>
      <w:r w:rsidR="00412D95">
        <w:t xml:space="preserve"> in the case of</w:t>
      </w:r>
      <w:r w:rsidR="005D56D2">
        <w:t xml:space="preserve"> e-bikes where the batteries </w:t>
      </w:r>
      <w:r w:rsidR="005D56D2" w:rsidRPr="005D56D2">
        <w:t xml:space="preserve">are usually positioned in a </w:t>
      </w:r>
      <w:r w:rsidR="00412D95">
        <w:t>less vulnerable location;</w:t>
      </w:r>
      <w:r w:rsidRPr="00B3733C">
        <w:t xml:space="preserve"> </w:t>
      </w:r>
      <w:r w:rsidR="007F5D01">
        <w:t>and</w:t>
      </w:r>
    </w:p>
    <w:p w14:paraId="73EE5C6B" w14:textId="466923EF" w:rsidR="007F5D01" w:rsidRDefault="00574187" w:rsidP="007F5D01">
      <w:pPr>
        <w:pStyle w:val="ListParagraph"/>
        <w:numPr>
          <w:ilvl w:val="0"/>
          <w:numId w:val="4"/>
        </w:numPr>
      </w:pPr>
      <w:r>
        <w:t>t</w:t>
      </w:r>
      <w:r w:rsidR="00263573">
        <w:t>he quality control of e-scooter manufacturing does not appear to be as mature and developed as e-bikes</w:t>
      </w:r>
      <w:r w:rsidR="007F5D01">
        <w:t>.</w:t>
      </w:r>
      <w:r>
        <w:t xml:space="preserve">   </w:t>
      </w:r>
    </w:p>
    <w:p w14:paraId="42D58440" w14:textId="0AEAE4CF" w:rsidR="007F5D01" w:rsidRDefault="007F5D01" w:rsidP="007F5D01">
      <w:r>
        <w:t>Overall, international experience does indicate that e-scooters represent a greater risk than other forms of PPTs in terms of incidents arising from l</w:t>
      </w:r>
      <w:r w:rsidRPr="00574187">
        <w:t>ithium-</w:t>
      </w:r>
      <w:r>
        <w:t>i</w:t>
      </w:r>
      <w:r w:rsidRPr="00574187">
        <w:t xml:space="preserve">on </w:t>
      </w:r>
      <w:r>
        <w:t>b</w:t>
      </w:r>
      <w:r w:rsidRPr="00574187">
        <w:t>atteries</w:t>
      </w:r>
      <w:r>
        <w:t>.  In addition, u</w:t>
      </w:r>
      <w:r w:rsidRPr="00B3733C">
        <w:t xml:space="preserve">ntil very recently, there </w:t>
      </w:r>
      <w:r>
        <w:t>were</w:t>
      </w:r>
      <w:r w:rsidRPr="00B3733C">
        <w:t xml:space="preserve"> no </w:t>
      </w:r>
      <w:r>
        <w:t>technical</w:t>
      </w:r>
      <w:r w:rsidRPr="00B3733C">
        <w:t xml:space="preserve"> standards </w:t>
      </w:r>
      <w:r>
        <w:t xml:space="preserve">for e-scooters in Ireland and there are </w:t>
      </w:r>
      <w:r w:rsidRPr="00B3733C">
        <w:t>a wide variety of e-scooters available, or already purchased</w:t>
      </w:r>
      <w:r>
        <w:t>,</w:t>
      </w:r>
      <w:r w:rsidRPr="00B3733C">
        <w:t xml:space="preserve"> which </w:t>
      </w:r>
      <w:r>
        <w:t>are unlikely to</w:t>
      </w:r>
      <w:r w:rsidRPr="00B3733C">
        <w:t xml:space="preserve"> meet the standards now required under new regulations. </w:t>
      </w:r>
    </w:p>
    <w:p w14:paraId="0A5C7D12" w14:textId="6F0C1321" w:rsidR="00574187" w:rsidRDefault="00A62D8C" w:rsidP="00574187">
      <w:pPr>
        <w:pStyle w:val="Heading2"/>
      </w:pPr>
      <w:bookmarkStart w:id="0" w:name="_Hlk175296206"/>
      <w:r>
        <w:t xml:space="preserve">NTA </w:t>
      </w:r>
      <w:r w:rsidR="00574187">
        <w:t>Advice</w:t>
      </w:r>
      <w:r w:rsidR="00574187" w:rsidRPr="00574187">
        <w:t xml:space="preserve"> on the </w:t>
      </w:r>
      <w:r w:rsidR="00574187">
        <w:t>C</w:t>
      </w:r>
      <w:r w:rsidR="00574187" w:rsidRPr="00574187">
        <w:t>arriage of e-</w:t>
      </w:r>
      <w:r w:rsidR="00574187">
        <w:t>S</w:t>
      </w:r>
      <w:r w:rsidR="00574187" w:rsidRPr="00574187">
        <w:t xml:space="preserve">cooters on </w:t>
      </w:r>
      <w:r w:rsidR="00574187">
        <w:t>P</w:t>
      </w:r>
      <w:r w:rsidR="00574187" w:rsidRPr="00574187">
        <w:t xml:space="preserve">ublic </w:t>
      </w:r>
      <w:r w:rsidR="00574187">
        <w:t>T</w:t>
      </w:r>
      <w:r w:rsidR="00574187" w:rsidRPr="00574187">
        <w:t>ransport</w:t>
      </w:r>
    </w:p>
    <w:bookmarkEnd w:id="0"/>
    <w:p w14:paraId="31D83CC9" w14:textId="77777777" w:rsidR="003515B9" w:rsidRDefault="00574187" w:rsidP="00D51175">
      <w:r>
        <w:t>Given their particular characteristics, there is a growing body of evidence of the fire/explosion risk associated with l</w:t>
      </w:r>
      <w:r w:rsidRPr="00574187">
        <w:t>ithium-</w:t>
      </w:r>
      <w:r>
        <w:t>i</w:t>
      </w:r>
      <w:r w:rsidRPr="00574187">
        <w:t xml:space="preserve">on </w:t>
      </w:r>
      <w:r>
        <w:t>b</w:t>
      </w:r>
      <w:r w:rsidRPr="00574187">
        <w:t>atteries</w:t>
      </w:r>
      <w:r>
        <w:t xml:space="preserve"> on</w:t>
      </w:r>
      <w:r w:rsidRPr="00574187">
        <w:t xml:space="preserve"> </w:t>
      </w:r>
      <w:r w:rsidRPr="00B3733C">
        <w:t>e-scooter</w:t>
      </w:r>
      <w:r>
        <w:t xml:space="preserve">s.   </w:t>
      </w:r>
      <w:r w:rsidR="003515B9">
        <w:t>As the</w:t>
      </w:r>
      <w:r>
        <w:t xml:space="preserve"> ensuring </w:t>
      </w:r>
      <w:r w:rsidR="003515B9">
        <w:t xml:space="preserve">of </w:t>
      </w:r>
      <w:r>
        <w:t>passenger safety on public transport vehicles</w:t>
      </w:r>
      <w:r w:rsidR="003515B9">
        <w:t xml:space="preserve"> is a primary responsibility of transport operators</w:t>
      </w:r>
      <w:r>
        <w:t xml:space="preserve">, it is considered both appropriate and necessary to </w:t>
      </w:r>
      <w:r w:rsidR="003515B9">
        <w:t xml:space="preserve">address this emerging risk. </w:t>
      </w:r>
    </w:p>
    <w:p w14:paraId="2303AAF5" w14:textId="3B5BCE26" w:rsidR="007F5D01" w:rsidRDefault="003515B9" w:rsidP="00D51175">
      <w:r>
        <w:lastRenderedPageBreak/>
        <w:t>Accordingly, the NTA advises that transport operators delivering public transport services under contract to the NTA, should prohibit</w:t>
      </w:r>
      <w:r w:rsidRPr="003515B9">
        <w:t xml:space="preserve"> the carriage of e-scooters, including those that can be folded or carried, from </w:t>
      </w:r>
      <w:r>
        <w:t>such</w:t>
      </w:r>
      <w:r w:rsidRPr="003515B9">
        <w:t xml:space="preserve"> public transport services</w:t>
      </w:r>
      <w:r>
        <w:t xml:space="preserve">.  This guidance applies to </w:t>
      </w:r>
      <w:r w:rsidR="00412D95">
        <w:t xml:space="preserve">all </w:t>
      </w:r>
      <w:r w:rsidRPr="003515B9">
        <w:t>bus, coach, Luas, DART and other Iarnród Éireann services</w:t>
      </w:r>
      <w:r>
        <w:t xml:space="preserve"> operated under a </w:t>
      </w:r>
      <w:r w:rsidR="00412D95">
        <w:t xml:space="preserve">service </w:t>
      </w:r>
      <w:r>
        <w:t xml:space="preserve">contract with the NTA. </w:t>
      </w:r>
      <w:r w:rsidR="007F5D01">
        <w:t xml:space="preserve"> </w:t>
      </w:r>
    </w:p>
    <w:p w14:paraId="66EE8708" w14:textId="219AD612" w:rsidR="00574187" w:rsidRDefault="007F5D01" w:rsidP="00D51175">
      <w:r>
        <w:t>It is proposed that th</w:t>
      </w:r>
      <w:r w:rsidR="00C34D27">
        <w:t>is</w:t>
      </w:r>
      <w:r>
        <w:t xml:space="preserve"> </w:t>
      </w:r>
      <w:r w:rsidR="00A451E5">
        <w:t xml:space="preserve">restriction on bringing e-scooters onto the State provided public transport services will come into effect in early October of this year, subject to </w:t>
      </w:r>
      <w:r w:rsidR="00E45405">
        <w:t xml:space="preserve">finalisation of </w:t>
      </w:r>
      <w:r w:rsidR="00A451E5">
        <w:t xml:space="preserve">operational arrangements and communications at individual transport operators.  </w:t>
      </w:r>
      <w:r>
        <w:t xml:space="preserve"> </w:t>
      </w:r>
    </w:p>
    <w:p w14:paraId="0D98A3B1" w14:textId="6BB600AA" w:rsidR="00E45405" w:rsidRDefault="00E45405" w:rsidP="00E45405">
      <w:pPr>
        <w:pStyle w:val="Heading2"/>
      </w:pPr>
      <w:r>
        <w:t>Review Arrangements</w:t>
      </w:r>
    </w:p>
    <w:p w14:paraId="79E32AD0" w14:textId="5C0A9CA6" w:rsidR="00B3733C" w:rsidRPr="00B3733C" w:rsidRDefault="003515B9" w:rsidP="003515B9">
      <w:pPr>
        <w:rPr>
          <w:rFonts w:asciiTheme="majorHAnsi" w:eastAsiaTheme="majorEastAsia" w:hAnsiTheme="majorHAnsi" w:cstheme="majorBidi"/>
          <w:b/>
          <w:bCs/>
          <w:color w:val="4F81BD" w:themeColor="accent1"/>
          <w:sz w:val="26"/>
          <w:szCs w:val="26"/>
        </w:rPr>
      </w:pPr>
      <w:r w:rsidRPr="00B3733C">
        <w:t xml:space="preserve">It is recognised that new regulations </w:t>
      </w:r>
      <w:r w:rsidR="00313CC1">
        <w:t xml:space="preserve">made under </w:t>
      </w:r>
      <w:r w:rsidRPr="00B3733C">
        <w:t>the Road Traffic and Roads Act 2023</w:t>
      </w:r>
      <w:r w:rsidR="00545EB1" w:rsidRPr="00545EB1">
        <w:t xml:space="preserve"> </w:t>
      </w:r>
      <w:r w:rsidR="00545EB1">
        <w:t>have been recently introduced</w:t>
      </w:r>
      <w:r>
        <w:t xml:space="preserve">, </w:t>
      </w:r>
      <w:r w:rsidR="00313CC1">
        <w:t xml:space="preserve">which </w:t>
      </w:r>
      <w:r>
        <w:t>set</w:t>
      </w:r>
      <w:r w:rsidR="00545EB1">
        <w:t>s</w:t>
      </w:r>
      <w:r w:rsidRPr="00B3733C">
        <w:t xml:space="preserve"> out </w:t>
      </w:r>
      <w:r>
        <w:t>certain</w:t>
      </w:r>
      <w:r w:rsidRPr="00B3733C">
        <w:t xml:space="preserve"> minimum </w:t>
      </w:r>
      <w:r w:rsidR="00313CC1">
        <w:t xml:space="preserve">technical </w:t>
      </w:r>
      <w:r w:rsidRPr="00B3733C">
        <w:t xml:space="preserve">standards </w:t>
      </w:r>
      <w:r>
        <w:t>in relation to</w:t>
      </w:r>
      <w:r w:rsidRPr="00B3733C">
        <w:t xml:space="preserve"> PPTs including e-scooters.  </w:t>
      </w:r>
      <w:r>
        <w:t xml:space="preserve"> Accordingly, it is intended that the above guidance will be </w:t>
      </w:r>
      <w:r w:rsidR="00B3733C" w:rsidRPr="00B3733C">
        <w:t>periodically review</w:t>
      </w:r>
      <w:r>
        <w:t xml:space="preserve">ed by the NTA and the transport operators, to assess </w:t>
      </w:r>
      <w:r w:rsidR="00B3733C" w:rsidRPr="00B3733C">
        <w:t>whether the introduction of the new regulations</w:t>
      </w:r>
      <w:r w:rsidR="00313CC1">
        <w:t>, or other developments in this area,</w:t>
      </w:r>
      <w:r w:rsidR="00B3733C" w:rsidRPr="00B3733C">
        <w:t xml:space="preserve"> has reduced the potential fire risk associated with these devices to the extent that would </w:t>
      </w:r>
      <w:r w:rsidR="0099512D">
        <w:t xml:space="preserve">enable </w:t>
      </w:r>
      <w:r w:rsidR="00B3733C" w:rsidRPr="00B3733C">
        <w:t xml:space="preserve">the </w:t>
      </w:r>
      <w:r w:rsidR="00313CC1">
        <w:t>introductions</w:t>
      </w:r>
      <w:r w:rsidR="00B3733C" w:rsidRPr="00B3733C">
        <w:t xml:space="preserve"> of e-scooters</w:t>
      </w:r>
      <w:r w:rsidR="00313CC1">
        <w:t xml:space="preserve"> carriage on public transport</w:t>
      </w:r>
      <w:r w:rsidR="00B3733C" w:rsidRPr="00B3733C">
        <w:t>.</w:t>
      </w:r>
      <w:r w:rsidR="00917891">
        <w:rPr>
          <w:rFonts w:asciiTheme="majorHAnsi" w:eastAsiaTheme="majorEastAsia" w:hAnsiTheme="majorHAnsi" w:cstheme="majorBidi"/>
          <w:b/>
          <w:bCs/>
          <w:color w:val="4F81BD" w:themeColor="accent1"/>
          <w:sz w:val="26"/>
          <w:szCs w:val="26"/>
        </w:rPr>
        <w:t xml:space="preserve"> </w:t>
      </w:r>
    </w:p>
    <w:sectPr w:rsidR="00B3733C" w:rsidRPr="00B3733C" w:rsidSect="00AD3672">
      <w:headerReference w:type="even" r:id="rId15"/>
      <w:headerReference w:type="default" r:id="rId16"/>
      <w:footerReference w:type="even" r:id="rId17"/>
      <w:footerReference w:type="default" r:id="rId18"/>
      <w:headerReference w:type="first" r:id="rId19"/>
      <w:footerReference w:type="first" r:id="rId20"/>
      <w:pgSz w:w="11906" w:h="16838"/>
      <w:pgMar w:top="1418" w:right="141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1CF04" w14:textId="77777777" w:rsidR="001903D3" w:rsidRDefault="001903D3" w:rsidP="00A308E2">
      <w:pPr>
        <w:spacing w:after="0" w:line="240" w:lineRule="auto"/>
      </w:pPr>
      <w:r>
        <w:separator/>
      </w:r>
    </w:p>
  </w:endnote>
  <w:endnote w:type="continuationSeparator" w:id="0">
    <w:p w14:paraId="1F879305" w14:textId="77777777" w:rsidR="001903D3" w:rsidRDefault="001903D3" w:rsidP="00A30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667AC" w14:textId="77777777" w:rsidR="00BA757A" w:rsidRDefault="00BA7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719256"/>
      <w:docPartObj>
        <w:docPartGallery w:val="Page Numbers (Bottom of Page)"/>
        <w:docPartUnique/>
      </w:docPartObj>
    </w:sdtPr>
    <w:sdtEndPr>
      <w:rPr>
        <w:noProof/>
      </w:rPr>
    </w:sdtEndPr>
    <w:sdtContent>
      <w:p w14:paraId="16376B41" w14:textId="6E39F75F" w:rsidR="00473BB6" w:rsidRDefault="00473BB6">
        <w:pPr>
          <w:pStyle w:val="Footer"/>
          <w:jc w:val="right"/>
        </w:pPr>
        <w:r>
          <w:fldChar w:fldCharType="begin"/>
        </w:r>
        <w:r>
          <w:instrText xml:space="preserve"> PAGE   \* MERGEFORMAT </w:instrText>
        </w:r>
        <w:r>
          <w:fldChar w:fldCharType="separate"/>
        </w:r>
        <w:r w:rsidR="00BA757A">
          <w:rPr>
            <w:noProof/>
          </w:rPr>
          <w:t>3</w:t>
        </w:r>
        <w:r>
          <w:rPr>
            <w:noProof/>
          </w:rPr>
          <w:fldChar w:fldCharType="end"/>
        </w:r>
      </w:p>
    </w:sdtContent>
  </w:sdt>
  <w:p w14:paraId="671A4A9E" w14:textId="77777777" w:rsidR="00473BB6" w:rsidRDefault="00473B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D6C7" w14:textId="77777777" w:rsidR="00BA757A" w:rsidRDefault="00BA7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CEEDE" w14:textId="77777777" w:rsidR="001903D3" w:rsidRDefault="001903D3" w:rsidP="00A308E2">
      <w:pPr>
        <w:spacing w:after="0" w:line="240" w:lineRule="auto"/>
      </w:pPr>
      <w:r>
        <w:separator/>
      </w:r>
    </w:p>
  </w:footnote>
  <w:footnote w:type="continuationSeparator" w:id="0">
    <w:p w14:paraId="4028A053" w14:textId="77777777" w:rsidR="001903D3" w:rsidRDefault="001903D3" w:rsidP="00A30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655AA" w14:textId="77777777" w:rsidR="00BA757A" w:rsidRDefault="00BA7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0DEE" w14:textId="130E5189" w:rsidR="00BA757A" w:rsidRDefault="00BA75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B8356" w14:textId="77777777" w:rsidR="00BA757A" w:rsidRDefault="00BA7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270F2"/>
    <w:multiLevelType w:val="multilevel"/>
    <w:tmpl w:val="86E69BA8"/>
    <w:lvl w:ilvl="0">
      <w:start w:val="1"/>
      <w:numFmt w:val="decimal"/>
      <w:lvlText w:val="%1."/>
      <w:lvlJc w:val="left"/>
      <w:pPr>
        <w:tabs>
          <w:tab w:val="num" w:pos="794"/>
        </w:tabs>
        <w:ind w:left="794" w:hanging="794"/>
      </w:pPr>
      <w:rPr>
        <w:rFonts w:ascii="Times New Roman Bold" w:hAnsi="Times New Roman Bold" w:cs="Times New Roman" w:hint="default"/>
        <w:b/>
        <w:bCs w:val="0"/>
        <w:i w:val="0"/>
        <w:iCs w:val="0"/>
        <w: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4"/>
        </w:tabs>
        <w:ind w:left="794" w:hanging="794"/>
      </w:pPr>
      <w:rPr>
        <w:rFonts w:ascii="Times New Roman Bold" w:hAnsi="Times New Roman Bold"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94"/>
        </w:tabs>
        <w:ind w:left="794" w:hanging="794"/>
      </w:pPr>
      <w:rPr>
        <w:rFonts w:ascii="Times New Roman" w:hAnsi="Times New Roman" w:hint="default"/>
        <w:b w:val="0"/>
        <w:i w:val="0"/>
        <w:sz w:val="22"/>
      </w:rPr>
    </w:lvl>
    <w:lvl w:ilvl="3">
      <w:start w:val="1"/>
      <w:numFmt w:val="bullet"/>
      <w:pStyle w:val="BodyTextIndent1"/>
      <w:lvlText w:val=""/>
      <w:lvlJc w:val="left"/>
      <w:pPr>
        <w:tabs>
          <w:tab w:val="num" w:pos="-567"/>
        </w:tabs>
        <w:ind w:left="-567" w:firstLine="567"/>
      </w:pPr>
      <w:rPr>
        <w:rFonts w:ascii="Wingdings" w:hAnsi="Wingdings" w:hint="default"/>
        <w:b/>
        <w:bCs w:val="0"/>
        <w:i w:val="0"/>
        <w:iCs w:val="0"/>
        <w: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440"/>
        </w:tabs>
        <w:ind w:left="1440" w:hanging="646"/>
      </w:pPr>
      <w:rPr>
        <w:rFonts w:ascii="Times New Roman" w:hAnsi="Times New Roman" w:hint="default"/>
        <w:b w:val="0"/>
        <w:i w:val="0"/>
        <w:sz w:val="22"/>
      </w:rPr>
    </w:lvl>
    <w:lvl w:ilvl="5">
      <w:start w:val="1"/>
      <w:numFmt w:val="lowerRoman"/>
      <w:lvlText w:val="(%6)"/>
      <w:lvlJc w:val="left"/>
      <w:pPr>
        <w:tabs>
          <w:tab w:val="num" w:pos="2160"/>
        </w:tabs>
        <w:ind w:left="2160" w:hanging="720"/>
      </w:pPr>
      <w:rPr>
        <w:rFonts w:ascii="Times New Roman" w:hAnsi="Times New Roman" w:hint="default"/>
        <w:b w:val="0"/>
        <w:i w:val="0"/>
        <w:sz w:val="24"/>
      </w:rPr>
    </w:lvl>
    <w:lvl w:ilvl="6">
      <w:start w:val="1"/>
      <w:numFmt w:val="upperLetter"/>
      <w:lvlText w:val="(%7)"/>
      <w:lvlJc w:val="left"/>
      <w:pPr>
        <w:tabs>
          <w:tab w:val="num" w:pos="2880"/>
        </w:tabs>
        <w:ind w:left="2880" w:hanging="720"/>
      </w:pPr>
      <w:rPr>
        <w:rFonts w:ascii="Times New Roman" w:hAnsi="Times New Roman" w:hint="default"/>
        <w:b w:val="0"/>
        <w:i w:val="0"/>
        <w:sz w:val="22"/>
      </w:rPr>
    </w:lvl>
    <w:lvl w:ilvl="7">
      <w:start w:val="1"/>
      <w:numFmt w:val="decimal"/>
      <w:lvlText w:val="(%8)"/>
      <w:lvlJc w:val="left"/>
      <w:pPr>
        <w:tabs>
          <w:tab w:val="num" w:pos="3600"/>
        </w:tabs>
        <w:ind w:left="3600" w:hanging="72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48B340FF"/>
    <w:multiLevelType w:val="hybridMultilevel"/>
    <w:tmpl w:val="3D9CD672"/>
    <w:lvl w:ilvl="0" w:tplc="18090001">
      <w:start w:val="1"/>
      <w:numFmt w:val="bullet"/>
      <w:lvlText w:val=""/>
      <w:lvlJc w:val="left"/>
      <w:pPr>
        <w:ind w:left="720" w:hanging="360"/>
      </w:pPr>
      <w:rPr>
        <w:rFonts w:ascii="Symbol" w:hAnsi="Symbol" w:hint="default"/>
      </w:rPr>
    </w:lvl>
    <w:lvl w:ilvl="1" w:tplc="862EF674">
      <w:start w:val="1"/>
      <w:numFmt w:val="bullet"/>
      <w:pStyle w:val="BRTHeading2"/>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58D70419"/>
    <w:multiLevelType w:val="hybridMultilevel"/>
    <w:tmpl w:val="D81684D2"/>
    <w:lvl w:ilvl="0" w:tplc="58ECF0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61123"/>
    <w:multiLevelType w:val="hybridMultilevel"/>
    <w:tmpl w:val="06123A66"/>
    <w:lvl w:ilvl="0" w:tplc="C1349558">
      <w:start w:val="1"/>
      <w:numFmt w:val="decimal"/>
      <w:pStyle w:val="Heading2"/>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868904263">
    <w:abstractNumId w:val="0"/>
  </w:num>
  <w:num w:numId="2" w16cid:durableId="266737526">
    <w:abstractNumId w:val="1"/>
  </w:num>
  <w:num w:numId="3" w16cid:durableId="1346908949">
    <w:abstractNumId w:val="3"/>
  </w:num>
  <w:num w:numId="4" w16cid:durableId="1920283614">
    <w:abstractNumId w:val="2"/>
  </w:num>
  <w:num w:numId="5" w16cid:durableId="694697623">
    <w:abstractNumId w:val="3"/>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wMDY2NbMwMrU0sbRU0lEKTi0uzszPAykwrAUA+CS7tywAAAA="/>
  </w:docVars>
  <w:rsids>
    <w:rsidRoot w:val="00A6290A"/>
    <w:rsid w:val="00000F07"/>
    <w:rsid w:val="00015796"/>
    <w:rsid w:val="00017349"/>
    <w:rsid w:val="0001743B"/>
    <w:rsid w:val="000207C0"/>
    <w:rsid w:val="00025022"/>
    <w:rsid w:val="000260BC"/>
    <w:rsid w:val="00040067"/>
    <w:rsid w:val="000438D9"/>
    <w:rsid w:val="00044990"/>
    <w:rsid w:val="0005099B"/>
    <w:rsid w:val="00051E80"/>
    <w:rsid w:val="00052316"/>
    <w:rsid w:val="000532F6"/>
    <w:rsid w:val="0006014F"/>
    <w:rsid w:val="000627B5"/>
    <w:rsid w:val="00062A5F"/>
    <w:rsid w:val="00067F88"/>
    <w:rsid w:val="00070A68"/>
    <w:rsid w:val="000750AC"/>
    <w:rsid w:val="000804E4"/>
    <w:rsid w:val="0008115D"/>
    <w:rsid w:val="000819F0"/>
    <w:rsid w:val="000846C2"/>
    <w:rsid w:val="00085F67"/>
    <w:rsid w:val="00091FE8"/>
    <w:rsid w:val="000937A1"/>
    <w:rsid w:val="000A307E"/>
    <w:rsid w:val="000A3246"/>
    <w:rsid w:val="000A4D43"/>
    <w:rsid w:val="000A4F52"/>
    <w:rsid w:val="000A5719"/>
    <w:rsid w:val="000A6336"/>
    <w:rsid w:val="000B4614"/>
    <w:rsid w:val="000B462D"/>
    <w:rsid w:val="000B541C"/>
    <w:rsid w:val="000B6683"/>
    <w:rsid w:val="000C1584"/>
    <w:rsid w:val="000C47ED"/>
    <w:rsid w:val="000C5A6B"/>
    <w:rsid w:val="000C69C2"/>
    <w:rsid w:val="000D3BC1"/>
    <w:rsid w:val="000D3EF7"/>
    <w:rsid w:val="000D6F8C"/>
    <w:rsid w:val="000E217B"/>
    <w:rsid w:val="000E609A"/>
    <w:rsid w:val="000E672D"/>
    <w:rsid w:val="000E76E5"/>
    <w:rsid w:val="000F069C"/>
    <w:rsid w:val="000F08FC"/>
    <w:rsid w:val="000F3847"/>
    <w:rsid w:val="00100677"/>
    <w:rsid w:val="00101278"/>
    <w:rsid w:val="00101987"/>
    <w:rsid w:val="00105DA3"/>
    <w:rsid w:val="001151BD"/>
    <w:rsid w:val="0012265E"/>
    <w:rsid w:val="0012778A"/>
    <w:rsid w:val="00127880"/>
    <w:rsid w:val="00135D95"/>
    <w:rsid w:val="001404D0"/>
    <w:rsid w:val="00141D1A"/>
    <w:rsid w:val="001433DE"/>
    <w:rsid w:val="00150220"/>
    <w:rsid w:val="00150BFB"/>
    <w:rsid w:val="00150C93"/>
    <w:rsid w:val="00151DCE"/>
    <w:rsid w:val="00160EC7"/>
    <w:rsid w:val="0016166F"/>
    <w:rsid w:val="00164338"/>
    <w:rsid w:val="00165C70"/>
    <w:rsid w:val="001705AD"/>
    <w:rsid w:val="00173BD8"/>
    <w:rsid w:val="00177123"/>
    <w:rsid w:val="00177E12"/>
    <w:rsid w:val="001850F6"/>
    <w:rsid w:val="001903D3"/>
    <w:rsid w:val="001914CE"/>
    <w:rsid w:val="00193842"/>
    <w:rsid w:val="00195903"/>
    <w:rsid w:val="0019659D"/>
    <w:rsid w:val="001973CB"/>
    <w:rsid w:val="001A066D"/>
    <w:rsid w:val="001A157A"/>
    <w:rsid w:val="001A79FF"/>
    <w:rsid w:val="001B4EA2"/>
    <w:rsid w:val="001C0B98"/>
    <w:rsid w:val="001C17D1"/>
    <w:rsid w:val="001C1886"/>
    <w:rsid w:val="001C1D93"/>
    <w:rsid w:val="001C5241"/>
    <w:rsid w:val="001C6C27"/>
    <w:rsid w:val="001C7A6E"/>
    <w:rsid w:val="001D0C5A"/>
    <w:rsid w:val="001D1FBD"/>
    <w:rsid w:val="001D5F3F"/>
    <w:rsid w:val="001D690F"/>
    <w:rsid w:val="001E271A"/>
    <w:rsid w:val="001E2F45"/>
    <w:rsid w:val="001E61A9"/>
    <w:rsid w:val="001F1575"/>
    <w:rsid w:val="001F1D72"/>
    <w:rsid w:val="001F2A61"/>
    <w:rsid w:val="001F4AE9"/>
    <w:rsid w:val="001F4DEE"/>
    <w:rsid w:val="00203255"/>
    <w:rsid w:val="00203B0B"/>
    <w:rsid w:val="00203CB3"/>
    <w:rsid w:val="00205CAD"/>
    <w:rsid w:val="0021022E"/>
    <w:rsid w:val="002108C7"/>
    <w:rsid w:val="00217A9E"/>
    <w:rsid w:val="00222B9F"/>
    <w:rsid w:val="00224ED9"/>
    <w:rsid w:val="002250C6"/>
    <w:rsid w:val="00232E12"/>
    <w:rsid w:val="002407BE"/>
    <w:rsid w:val="00241ABB"/>
    <w:rsid w:val="00245C5D"/>
    <w:rsid w:val="00245D02"/>
    <w:rsid w:val="00257E9C"/>
    <w:rsid w:val="00260F4B"/>
    <w:rsid w:val="00262CC9"/>
    <w:rsid w:val="00263573"/>
    <w:rsid w:val="002673AE"/>
    <w:rsid w:val="00267DD3"/>
    <w:rsid w:val="00267FB2"/>
    <w:rsid w:val="00270491"/>
    <w:rsid w:val="00271513"/>
    <w:rsid w:val="00273182"/>
    <w:rsid w:val="00275B0E"/>
    <w:rsid w:val="002808F6"/>
    <w:rsid w:val="0028216A"/>
    <w:rsid w:val="002840EC"/>
    <w:rsid w:val="002858C1"/>
    <w:rsid w:val="00296FD0"/>
    <w:rsid w:val="00297289"/>
    <w:rsid w:val="002A15B8"/>
    <w:rsid w:val="002A5E37"/>
    <w:rsid w:val="002A6F16"/>
    <w:rsid w:val="002B76E9"/>
    <w:rsid w:val="002B7A12"/>
    <w:rsid w:val="002C0A61"/>
    <w:rsid w:val="002D3BE3"/>
    <w:rsid w:val="002D4C3D"/>
    <w:rsid w:val="002D50D7"/>
    <w:rsid w:val="002D65A0"/>
    <w:rsid w:val="002E435C"/>
    <w:rsid w:val="002F0323"/>
    <w:rsid w:val="002F1369"/>
    <w:rsid w:val="002F1392"/>
    <w:rsid w:val="0031242C"/>
    <w:rsid w:val="00313B11"/>
    <w:rsid w:val="00313CC1"/>
    <w:rsid w:val="003223C0"/>
    <w:rsid w:val="00322FA6"/>
    <w:rsid w:val="00323954"/>
    <w:rsid w:val="003256A6"/>
    <w:rsid w:val="00325966"/>
    <w:rsid w:val="003324D4"/>
    <w:rsid w:val="0033720D"/>
    <w:rsid w:val="003378FE"/>
    <w:rsid w:val="0034611A"/>
    <w:rsid w:val="00346B78"/>
    <w:rsid w:val="003515B9"/>
    <w:rsid w:val="00353D59"/>
    <w:rsid w:val="00360187"/>
    <w:rsid w:val="003632F6"/>
    <w:rsid w:val="003637E8"/>
    <w:rsid w:val="0036460F"/>
    <w:rsid w:val="00366333"/>
    <w:rsid w:val="003666FD"/>
    <w:rsid w:val="00366A0A"/>
    <w:rsid w:val="00371B91"/>
    <w:rsid w:val="00380E2E"/>
    <w:rsid w:val="00382F70"/>
    <w:rsid w:val="00383D49"/>
    <w:rsid w:val="00384FF4"/>
    <w:rsid w:val="00390FA7"/>
    <w:rsid w:val="0039133D"/>
    <w:rsid w:val="00391843"/>
    <w:rsid w:val="003922D1"/>
    <w:rsid w:val="00394676"/>
    <w:rsid w:val="003953A2"/>
    <w:rsid w:val="003A4B64"/>
    <w:rsid w:val="003A61AF"/>
    <w:rsid w:val="003B40F1"/>
    <w:rsid w:val="003B5492"/>
    <w:rsid w:val="003C0D4D"/>
    <w:rsid w:val="003C7252"/>
    <w:rsid w:val="003D0CAF"/>
    <w:rsid w:val="003D3623"/>
    <w:rsid w:val="003D4DE3"/>
    <w:rsid w:val="003D6B78"/>
    <w:rsid w:val="003E2A3B"/>
    <w:rsid w:val="003E2DD9"/>
    <w:rsid w:val="003E3D36"/>
    <w:rsid w:val="003F1D38"/>
    <w:rsid w:val="0040106D"/>
    <w:rsid w:val="0040206A"/>
    <w:rsid w:val="00406696"/>
    <w:rsid w:val="004104EC"/>
    <w:rsid w:val="00412824"/>
    <w:rsid w:val="00412D95"/>
    <w:rsid w:val="0042266A"/>
    <w:rsid w:val="00423746"/>
    <w:rsid w:val="0042473B"/>
    <w:rsid w:val="0042592A"/>
    <w:rsid w:val="00425F9B"/>
    <w:rsid w:val="00431ADA"/>
    <w:rsid w:val="00435EC8"/>
    <w:rsid w:val="00436E19"/>
    <w:rsid w:val="00441CC2"/>
    <w:rsid w:val="00442392"/>
    <w:rsid w:val="004431CF"/>
    <w:rsid w:val="004565D5"/>
    <w:rsid w:val="00456907"/>
    <w:rsid w:val="00456DC2"/>
    <w:rsid w:val="0046250F"/>
    <w:rsid w:val="004664BB"/>
    <w:rsid w:val="00473BB6"/>
    <w:rsid w:val="0047467B"/>
    <w:rsid w:val="00474A56"/>
    <w:rsid w:val="00474FF8"/>
    <w:rsid w:val="00481AD3"/>
    <w:rsid w:val="0048661E"/>
    <w:rsid w:val="004874EC"/>
    <w:rsid w:val="00487FE2"/>
    <w:rsid w:val="004917C5"/>
    <w:rsid w:val="00497507"/>
    <w:rsid w:val="004979F9"/>
    <w:rsid w:val="004A3082"/>
    <w:rsid w:val="004A44D1"/>
    <w:rsid w:val="004B2385"/>
    <w:rsid w:val="004B4843"/>
    <w:rsid w:val="004C051E"/>
    <w:rsid w:val="004C12D1"/>
    <w:rsid w:val="004C264F"/>
    <w:rsid w:val="004C529B"/>
    <w:rsid w:val="004C7884"/>
    <w:rsid w:val="004D01A1"/>
    <w:rsid w:val="004D17E0"/>
    <w:rsid w:val="004E3CCD"/>
    <w:rsid w:val="004E55D6"/>
    <w:rsid w:val="004F2507"/>
    <w:rsid w:val="004F376D"/>
    <w:rsid w:val="004F7C40"/>
    <w:rsid w:val="00500193"/>
    <w:rsid w:val="00502F1D"/>
    <w:rsid w:val="0050641C"/>
    <w:rsid w:val="00512EB6"/>
    <w:rsid w:val="00513731"/>
    <w:rsid w:val="00516BB6"/>
    <w:rsid w:val="00517E8F"/>
    <w:rsid w:val="00521CDE"/>
    <w:rsid w:val="00526A19"/>
    <w:rsid w:val="005329E5"/>
    <w:rsid w:val="00534B80"/>
    <w:rsid w:val="00534DF8"/>
    <w:rsid w:val="00545EB1"/>
    <w:rsid w:val="0055553F"/>
    <w:rsid w:val="005564E4"/>
    <w:rsid w:val="0055767E"/>
    <w:rsid w:val="005635B2"/>
    <w:rsid w:val="00563EFE"/>
    <w:rsid w:val="0056415E"/>
    <w:rsid w:val="00566635"/>
    <w:rsid w:val="00571030"/>
    <w:rsid w:val="00574187"/>
    <w:rsid w:val="00575535"/>
    <w:rsid w:val="005769DA"/>
    <w:rsid w:val="005806B2"/>
    <w:rsid w:val="00581E9D"/>
    <w:rsid w:val="0059022E"/>
    <w:rsid w:val="00593199"/>
    <w:rsid w:val="005A3C9F"/>
    <w:rsid w:val="005B2B88"/>
    <w:rsid w:val="005B43E5"/>
    <w:rsid w:val="005B7318"/>
    <w:rsid w:val="005C1FB3"/>
    <w:rsid w:val="005C4208"/>
    <w:rsid w:val="005C4C51"/>
    <w:rsid w:val="005C642A"/>
    <w:rsid w:val="005D0057"/>
    <w:rsid w:val="005D0804"/>
    <w:rsid w:val="005D1E26"/>
    <w:rsid w:val="005D56D2"/>
    <w:rsid w:val="005D6BEC"/>
    <w:rsid w:val="005D7066"/>
    <w:rsid w:val="005E3E45"/>
    <w:rsid w:val="005F1349"/>
    <w:rsid w:val="005F151D"/>
    <w:rsid w:val="005F795B"/>
    <w:rsid w:val="00603CA3"/>
    <w:rsid w:val="0060495C"/>
    <w:rsid w:val="00606A5C"/>
    <w:rsid w:val="00610773"/>
    <w:rsid w:val="00615BA4"/>
    <w:rsid w:val="00625A38"/>
    <w:rsid w:val="006265BA"/>
    <w:rsid w:val="00630E75"/>
    <w:rsid w:val="00636700"/>
    <w:rsid w:val="0063704D"/>
    <w:rsid w:val="006422A4"/>
    <w:rsid w:val="00642540"/>
    <w:rsid w:val="00642984"/>
    <w:rsid w:val="006470EF"/>
    <w:rsid w:val="00652E14"/>
    <w:rsid w:val="00653155"/>
    <w:rsid w:val="00653A3B"/>
    <w:rsid w:val="00660C7C"/>
    <w:rsid w:val="006621DB"/>
    <w:rsid w:val="00664329"/>
    <w:rsid w:val="00664630"/>
    <w:rsid w:val="006655B9"/>
    <w:rsid w:val="006671F4"/>
    <w:rsid w:val="00672658"/>
    <w:rsid w:val="00672809"/>
    <w:rsid w:val="006771AF"/>
    <w:rsid w:val="00680828"/>
    <w:rsid w:val="00680CDC"/>
    <w:rsid w:val="00685687"/>
    <w:rsid w:val="00687DF9"/>
    <w:rsid w:val="00690285"/>
    <w:rsid w:val="00690C96"/>
    <w:rsid w:val="0069177B"/>
    <w:rsid w:val="006934CC"/>
    <w:rsid w:val="00695A30"/>
    <w:rsid w:val="006A0E1E"/>
    <w:rsid w:val="006A0F1C"/>
    <w:rsid w:val="006A30B7"/>
    <w:rsid w:val="006A422E"/>
    <w:rsid w:val="006A4810"/>
    <w:rsid w:val="006A50F7"/>
    <w:rsid w:val="006B08C0"/>
    <w:rsid w:val="006B0EE1"/>
    <w:rsid w:val="006B2AE3"/>
    <w:rsid w:val="006B2B26"/>
    <w:rsid w:val="006B43CC"/>
    <w:rsid w:val="006B6B35"/>
    <w:rsid w:val="006C2535"/>
    <w:rsid w:val="006C258B"/>
    <w:rsid w:val="006C575C"/>
    <w:rsid w:val="006F0CC1"/>
    <w:rsid w:val="006F4B28"/>
    <w:rsid w:val="006F6F74"/>
    <w:rsid w:val="006F7752"/>
    <w:rsid w:val="00702589"/>
    <w:rsid w:val="00702F98"/>
    <w:rsid w:val="00703554"/>
    <w:rsid w:val="00703607"/>
    <w:rsid w:val="007116D1"/>
    <w:rsid w:val="00712950"/>
    <w:rsid w:val="00714BE6"/>
    <w:rsid w:val="00715FFB"/>
    <w:rsid w:val="00720A46"/>
    <w:rsid w:val="00720B48"/>
    <w:rsid w:val="00731310"/>
    <w:rsid w:val="0073215D"/>
    <w:rsid w:val="00737B2F"/>
    <w:rsid w:val="00737DEC"/>
    <w:rsid w:val="00743D65"/>
    <w:rsid w:val="007464BD"/>
    <w:rsid w:val="00746661"/>
    <w:rsid w:val="007512A2"/>
    <w:rsid w:val="007547F1"/>
    <w:rsid w:val="007565D6"/>
    <w:rsid w:val="00757A07"/>
    <w:rsid w:val="007613B9"/>
    <w:rsid w:val="007623DB"/>
    <w:rsid w:val="007627CE"/>
    <w:rsid w:val="00764A04"/>
    <w:rsid w:val="00765C12"/>
    <w:rsid w:val="00765E60"/>
    <w:rsid w:val="007675E0"/>
    <w:rsid w:val="00771613"/>
    <w:rsid w:val="00774356"/>
    <w:rsid w:val="0077684D"/>
    <w:rsid w:val="007811DC"/>
    <w:rsid w:val="00785471"/>
    <w:rsid w:val="007A6330"/>
    <w:rsid w:val="007A6C8B"/>
    <w:rsid w:val="007C7688"/>
    <w:rsid w:val="007D35F3"/>
    <w:rsid w:val="007D563B"/>
    <w:rsid w:val="007D6FA3"/>
    <w:rsid w:val="007D7E8C"/>
    <w:rsid w:val="007E3B00"/>
    <w:rsid w:val="007F0087"/>
    <w:rsid w:val="007F0F43"/>
    <w:rsid w:val="007F20AC"/>
    <w:rsid w:val="007F2CEA"/>
    <w:rsid w:val="007F2DAE"/>
    <w:rsid w:val="007F4CD4"/>
    <w:rsid w:val="007F4F8C"/>
    <w:rsid w:val="007F5D01"/>
    <w:rsid w:val="00803371"/>
    <w:rsid w:val="00810712"/>
    <w:rsid w:val="00810C78"/>
    <w:rsid w:val="00810E1D"/>
    <w:rsid w:val="00813BF0"/>
    <w:rsid w:val="00813FE9"/>
    <w:rsid w:val="00814EAE"/>
    <w:rsid w:val="008165A6"/>
    <w:rsid w:val="00822B59"/>
    <w:rsid w:val="00827D6D"/>
    <w:rsid w:val="00830308"/>
    <w:rsid w:val="00831757"/>
    <w:rsid w:val="00834EFF"/>
    <w:rsid w:val="0083524D"/>
    <w:rsid w:val="0083558B"/>
    <w:rsid w:val="00835AE7"/>
    <w:rsid w:val="0084172C"/>
    <w:rsid w:val="00855F1B"/>
    <w:rsid w:val="0085617E"/>
    <w:rsid w:val="00856CE2"/>
    <w:rsid w:val="008613C3"/>
    <w:rsid w:val="0086223A"/>
    <w:rsid w:val="008644B7"/>
    <w:rsid w:val="008714AC"/>
    <w:rsid w:val="00875393"/>
    <w:rsid w:val="0087612C"/>
    <w:rsid w:val="0088595C"/>
    <w:rsid w:val="00890822"/>
    <w:rsid w:val="00892727"/>
    <w:rsid w:val="00896007"/>
    <w:rsid w:val="00896386"/>
    <w:rsid w:val="008A2C3D"/>
    <w:rsid w:val="008A378B"/>
    <w:rsid w:val="008B22E9"/>
    <w:rsid w:val="008B2F7C"/>
    <w:rsid w:val="008B6C81"/>
    <w:rsid w:val="008C3091"/>
    <w:rsid w:val="008C6904"/>
    <w:rsid w:val="008C6F97"/>
    <w:rsid w:val="008C703F"/>
    <w:rsid w:val="008C769B"/>
    <w:rsid w:val="008C79C3"/>
    <w:rsid w:val="008D5E23"/>
    <w:rsid w:val="008D7E4F"/>
    <w:rsid w:val="008E1CCA"/>
    <w:rsid w:val="008F041A"/>
    <w:rsid w:val="008F2252"/>
    <w:rsid w:val="008F2A02"/>
    <w:rsid w:val="008F634C"/>
    <w:rsid w:val="008F7A03"/>
    <w:rsid w:val="00900442"/>
    <w:rsid w:val="0090612C"/>
    <w:rsid w:val="00917346"/>
    <w:rsid w:val="00917891"/>
    <w:rsid w:val="009222BE"/>
    <w:rsid w:val="00924CC8"/>
    <w:rsid w:val="0092663E"/>
    <w:rsid w:val="009316C6"/>
    <w:rsid w:val="00933111"/>
    <w:rsid w:val="0093472C"/>
    <w:rsid w:val="00935D13"/>
    <w:rsid w:val="009369F2"/>
    <w:rsid w:val="009439DF"/>
    <w:rsid w:val="009442C1"/>
    <w:rsid w:val="00945D37"/>
    <w:rsid w:val="00953226"/>
    <w:rsid w:val="00956688"/>
    <w:rsid w:val="00956B65"/>
    <w:rsid w:val="00960FCB"/>
    <w:rsid w:val="00964825"/>
    <w:rsid w:val="00966C0C"/>
    <w:rsid w:val="009679A1"/>
    <w:rsid w:val="00967D70"/>
    <w:rsid w:val="009701A4"/>
    <w:rsid w:val="009707AA"/>
    <w:rsid w:val="0097469E"/>
    <w:rsid w:val="00975169"/>
    <w:rsid w:val="00975379"/>
    <w:rsid w:val="00976CAF"/>
    <w:rsid w:val="00980D8F"/>
    <w:rsid w:val="009810D8"/>
    <w:rsid w:val="009820B9"/>
    <w:rsid w:val="00984157"/>
    <w:rsid w:val="00986426"/>
    <w:rsid w:val="00990305"/>
    <w:rsid w:val="00992B6D"/>
    <w:rsid w:val="00994E1D"/>
    <w:rsid w:val="0099512D"/>
    <w:rsid w:val="009951AE"/>
    <w:rsid w:val="00995950"/>
    <w:rsid w:val="009A2FEA"/>
    <w:rsid w:val="009A44E8"/>
    <w:rsid w:val="009A58A6"/>
    <w:rsid w:val="009B2B60"/>
    <w:rsid w:val="009B6A92"/>
    <w:rsid w:val="009C1FCC"/>
    <w:rsid w:val="009C6134"/>
    <w:rsid w:val="009C739E"/>
    <w:rsid w:val="009D46F9"/>
    <w:rsid w:val="009D4849"/>
    <w:rsid w:val="009D5892"/>
    <w:rsid w:val="009D63B2"/>
    <w:rsid w:val="009E11E6"/>
    <w:rsid w:val="009E1876"/>
    <w:rsid w:val="009E1BF4"/>
    <w:rsid w:val="009E43A5"/>
    <w:rsid w:val="009F78D6"/>
    <w:rsid w:val="00A00EF3"/>
    <w:rsid w:val="00A03F77"/>
    <w:rsid w:val="00A04501"/>
    <w:rsid w:val="00A048DD"/>
    <w:rsid w:val="00A04A3E"/>
    <w:rsid w:val="00A0740A"/>
    <w:rsid w:val="00A1340C"/>
    <w:rsid w:val="00A26F4A"/>
    <w:rsid w:val="00A308E2"/>
    <w:rsid w:val="00A315BE"/>
    <w:rsid w:val="00A328D9"/>
    <w:rsid w:val="00A36C95"/>
    <w:rsid w:val="00A37440"/>
    <w:rsid w:val="00A37E4E"/>
    <w:rsid w:val="00A451E5"/>
    <w:rsid w:val="00A465CE"/>
    <w:rsid w:val="00A46DF6"/>
    <w:rsid w:val="00A50483"/>
    <w:rsid w:val="00A5314A"/>
    <w:rsid w:val="00A576D1"/>
    <w:rsid w:val="00A6290A"/>
    <w:rsid w:val="00A62D8C"/>
    <w:rsid w:val="00A66F8E"/>
    <w:rsid w:val="00A713D5"/>
    <w:rsid w:val="00A773ED"/>
    <w:rsid w:val="00A828EF"/>
    <w:rsid w:val="00A82B16"/>
    <w:rsid w:val="00A82D59"/>
    <w:rsid w:val="00A83344"/>
    <w:rsid w:val="00A8559F"/>
    <w:rsid w:val="00A858EA"/>
    <w:rsid w:val="00A87AB6"/>
    <w:rsid w:val="00A9324A"/>
    <w:rsid w:val="00A938B6"/>
    <w:rsid w:val="00AA264B"/>
    <w:rsid w:val="00AA5F9E"/>
    <w:rsid w:val="00AB0DA6"/>
    <w:rsid w:val="00AB188F"/>
    <w:rsid w:val="00AB3A0D"/>
    <w:rsid w:val="00AB3C04"/>
    <w:rsid w:val="00AB5571"/>
    <w:rsid w:val="00AC1D20"/>
    <w:rsid w:val="00AC23A2"/>
    <w:rsid w:val="00AC4F31"/>
    <w:rsid w:val="00AC7E6D"/>
    <w:rsid w:val="00AD05A0"/>
    <w:rsid w:val="00AD1AE8"/>
    <w:rsid w:val="00AD305B"/>
    <w:rsid w:val="00AD3672"/>
    <w:rsid w:val="00AD700C"/>
    <w:rsid w:val="00AE43E3"/>
    <w:rsid w:val="00AE6F21"/>
    <w:rsid w:val="00AF735C"/>
    <w:rsid w:val="00AF778F"/>
    <w:rsid w:val="00AF7B47"/>
    <w:rsid w:val="00B030B2"/>
    <w:rsid w:val="00B04D24"/>
    <w:rsid w:val="00B06326"/>
    <w:rsid w:val="00B100F8"/>
    <w:rsid w:val="00B1432B"/>
    <w:rsid w:val="00B17E8E"/>
    <w:rsid w:val="00B2344C"/>
    <w:rsid w:val="00B24C1A"/>
    <w:rsid w:val="00B37324"/>
    <w:rsid w:val="00B3733C"/>
    <w:rsid w:val="00B42AF4"/>
    <w:rsid w:val="00B43237"/>
    <w:rsid w:val="00B43CE9"/>
    <w:rsid w:val="00B44A61"/>
    <w:rsid w:val="00B50984"/>
    <w:rsid w:val="00B51384"/>
    <w:rsid w:val="00B522E2"/>
    <w:rsid w:val="00B55698"/>
    <w:rsid w:val="00B66DA1"/>
    <w:rsid w:val="00B706F4"/>
    <w:rsid w:val="00B81616"/>
    <w:rsid w:val="00B81949"/>
    <w:rsid w:val="00B81F59"/>
    <w:rsid w:val="00B90AA7"/>
    <w:rsid w:val="00B91B61"/>
    <w:rsid w:val="00B92BAF"/>
    <w:rsid w:val="00B94855"/>
    <w:rsid w:val="00B9764F"/>
    <w:rsid w:val="00BA2C06"/>
    <w:rsid w:val="00BA39FF"/>
    <w:rsid w:val="00BA69BB"/>
    <w:rsid w:val="00BA757A"/>
    <w:rsid w:val="00BB0127"/>
    <w:rsid w:val="00BB06A0"/>
    <w:rsid w:val="00BB2128"/>
    <w:rsid w:val="00BC145D"/>
    <w:rsid w:val="00BC187A"/>
    <w:rsid w:val="00BD087F"/>
    <w:rsid w:val="00BD2FF5"/>
    <w:rsid w:val="00BD6053"/>
    <w:rsid w:val="00BE1451"/>
    <w:rsid w:val="00BE4214"/>
    <w:rsid w:val="00BE429B"/>
    <w:rsid w:val="00BF04AA"/>
    <w:rsid w:val="00BF29E2"/>
    <w:rsid w:val="00BF4F6B"/>
    <w:rsid w:val="00BF50A6"/>
    <w:rsid w:val="00C028C9"/>
    <w:rsid w:val="00C0477C"/>
    <w:rsid w:val="00C05CEA"/>
    <w:rsid w:val="00C06350"/>
    <w:rsid w:val="00C070FE"/>
    <w:rsid w:val="00C122AD"/>
    <w:rsid w:val="00C12703"/>
    <w:rsid w:val="00C13915"/>
    <w:rsid w:val="00C156A9"/>
    <w:rsid w:val="00C160FA"/>
    <w:rsid w:val="00C175B0"/>
    <w:rsid w:val="00C20751"/>
    <w:rsid w:val="00C23D34"/>
    <w:rsid w:val="00C270EC"/>
    <w:rsid w:val="00C30239"/>
    <w:rsid w:val="00C309E2"/>
    <w:rsid w:val="00C3390D"/>
    <w:rsid w:val="00C34D27"/>
    <w:rsid w:val="00C363C8"/>
    <w:rsid w:val="00C3704C"/>
    <w:rsid w:val="00C41191"/>
    <w:rsid w:val="00C441BD"/>
    <w:rsid w:val="00C51D6F"/>
    <w:rsid w:val="00C56542"/>
    <w:rsid w:val="00C56B17"/>
    <w:rsid w:val="00C5723D"/>
    <w:rsid w:val="00C61A8C"/>
    <w:rsid w:val="00C622BA"/>
    <w:rsid w:val="00C62540"/>
    <w:rsid w:val="00C626EA"/>
    <w:rsid w:val="00C650BD"/>
    <w:rsid w:val="00C674A7"/>
    <w:rsid w:val="00C67F4E"/>
    <w:rsid w:val="00C72DB8"/>
    <w:rsid w:val="00C74CCA"/>
    <w:rsid w:val="00C76EEC"/>
    <w:rsid w:val="00C80460"/>
    <w:rsid w:val="00C80DAD"/>
    <w:rsid w:val="00C810AC"/>
    <w:rsid w:val="00C8288B"/>
    <w:rsid w:val="00C82E46"/>
    <w:rsid w:val="00C84546"/>
    <w:rsid w:val="00C85655"/>
    <w:rsid w:val="00C92C98"/>
    <w:rsid w:val="00C95D8E"/>
    <w:rsid w:val="00C97447"/>
    <w:rsid w:val="00CA3AAC"/>
    <w:rsid w:val="00CB4514"/>
    <w:rsid w:val="00CC02ED"/>
    <w:rsid w:val="00CC2299"/>
    <w:rsid w:val="00CC4F08"/>
    <w:rsid w:val="00CC50EA"/>
    <w:rsid w:val="00CC5140"/>
    <w:rsid w:val="00CC7AA5"/>
    <w:rsid w:val="00CD0915"/>
    <w:rsid w:val="00CD54BD"/>
    <w:rsid w:val="00CE18FC"/>
    <w:rsid w:val="00CE429D"/>
    <w:rsid w:val="00CE664B"/>
    <w:rsid w:val="00CF293F"/>
    <w:rsid w:val="00CF39E9"/>
    <w:rsid w:val="00CF5C66"/>
    <w:rsid w:val="00D00AF1"/>
    <w:rsid w:val="00D023CB"/>
    <w:rsid w:val="00D02AE2"/>
    <w:rsid w:val="00D03EA5"/>
    <w:rsid w:val="00D168E3"/>
    <w:rsid w:val="00D23946"/>
    <w:rsid w:val="00D25EF0"/>
    <w:rsid w:val="00D3504D"/>
    <w:rsid w:val="00D3641B"/>
    <w:rsid w:val="00D417D1"/>
    <w:rsid w:val="00D41F9A"/>
    <w:rsid w:val="00D45DDA"/>
    <w:rsid w:val="00D474BF"/>
    <w:rsid w:val="00D50BA2"/>
    <w:rsid w:val="00D51175"/>
    <w:rsid w:val="00D53145"/>
    <w:rsid w:val="00D538CB"/>
    <w:rsid w:val="00D5510D"/>
    <w:rsid w:val="00D567A7"/>
    <w:rsid w:val="00D567FB"/>
    <w:rsid w:val="00D65795"/>
    <w:rsid w:val="00D65A8C"/>
    <w:rsid w:val="00D70E9E"/>
    <w:rsid w:val="00D71C08"/>
    <w:rsid w:val="00D749B1"/>
    <w:rsid w:val="00D766F8"/>
    <w:rsid w:val="00D8416A"/>
    <w:rsid w:val="00D86678"/>
    <w:rsid w:val="00D86746"/>
    <w:rsid w:val="00D87EB1"/>
    <w:rsid w:val="00D91613"/>
    <w:rsid w:val="00DA02E7"/>
    <w:rsid w:val="00DA0AA2"/>
    <w:rsid w:val="00DA5A17"/>
    <w:rsid w:val="00DA5D21"/>
    <w:rsid w:val="00DB2D38"/>
    <w:rsid w:val="00DB63B1"/>
    <w:rsid w:val="00DB6C9C"/>
    <w:rsid w:val="00DB6D51"/>
    <w:rsid w:val="00DC0BE9"/>
    <w:rsid w:val="00DC12AE"/>
    <w:rsid w:val="00DC60EE"/>
    <w:rsid w:val="00DC6F7A"/>
    <w:rsid w:val="00DD2A84"/>
    <w:rsid w:val="00DE1B85"/>
    <w:rsid w:val="00DE2265"/>
    <w:rsid w:val="00DE267E"/>
    <w:rsid w:val="00DE58F4"/>
    <w:rsid w:val="00DE6257"/>
    <w:rsid w:val="00DF02D5"/>
    <w:rsid w:val="00DF070A"/>
    <w:rsid w:val="00DF0904"/>
    <w:rsid w:val="00DF0D77"/>
    <w:rsid w:val="00DF2D03"/>
    <w:rsid w:val="00DF35DA"/>
    <w:rsid w:val="00DF476F"/>
    <w:rsid w:val="00E05B90"/>
    <w:rsid w:val="00E073D4"/>
    <w:rsid w:val="00E109B0"/>
    <w:rsid w:val="00E146CD"/>
    <w:rsid w:val="00E17566"/>
    <w:rsid w:val="00E207F5"/>
    <w:rsid w:val="00E23C00"/>
    <w:rsid w:val="00E24684"/>
    <w:rsid w:val="00E25E75"/>
    <w:rsid w:val="00E3213C"/>
    <w:rsid w:val="00E3272C"/>
    <w:rsid w:val="00E40F65"/>
    <w:rsid w:val="00E45405"/>
    <w:rsid w:val="00E51F7E"/>
    <w:rsid w:val="00E5410A"/>
    <w:rsid w:val="00E54F6D"/>
    <w:rsid w:val="00E56D4A"/>
    <w:rsid w:val="00E572A2"/>
    <w:rsid w:val="00E61910"/>
    <w:rsid w:val="00E624AD"/>
    <w:rsid w:val="00E62E65"/>
    <w:rsid w:val="00E64BEB"/>
    <w:rsid w:val="00E661CD"/>
    <w:rsid w:val="00E7153D"/>
    <w:rsid w:val="00E7538C"/>
    <w:rsid w:val="00E76377"/>
    <w:rsid w:val="00E77526"/>
    <w:rsid w:val="00E77AC7"/>
    <w:rsid w:val="00E8071D"/>
    <w:rsid w:val="00E812C0"/>
    <w:rsid w:val="00E845DA"/>
    <w:rsid w:val="00E85572"/>
    <w:rsid w:val="00E86356"/>
    <w:rsid w:val="00E909B0"/>
    <w:rsid w:val="00E914CA"/>
    <w:rsid w:val="00E943F9"/>
    <w:rsid w:val="00EA0848"/>
    <w:rsid w:val="00EA1205"/>
    <w:rsid w:val="00EA2139"/>
    <w:rsid w:val="00EA2FF2"/>
    <w:rsid w:val="00EA32BA"/>
    <w:rsid w:val="00EA4E96"/>
    <w:rsid w:val="00EA52ED"/>
    <w:rsid w:val="00EA6876"/>
    <w:rsid w:val="00EB04AB"/>
    <w:rsid w:val="00EB0B4C"/>
    <w:rsid w:val="00EB1EE0"/>
    <w:rsid w:val="00EC638B"/>
    <w:rsid w:val="00ED36D3"/>
    <w:rsid w:val="00ED5C54"/>
    <w:rsid w:val="00ED7CD6"/>
    <w:rsid w:val="00EE6BE4"/>
    <w:rsid w:val="00EF2B01"/>
    <w:rsid w:val="00EF307D"/>
    <w:rsid w:val="00EF4497"/>
    <w:rsid w:val="00F01B4F"/>
    <w:rsid w:val="00F040D8"/>
    <w:rsid w:val="00F055E0"/>
    <w:rsid w:val="00F064C7"/>
    <w:rsid w:val="00F13897"/>
    <w:rsid w:val="00F13B7D"/>
    <w:rsid w:val="00F144A6"/>
    <w:rsid w:val="00F1467F"/>
    <w:rsid w:val="00F15AE6"/>
    <w:rsid w:val="00F21160"/>
    <w:rsid w:val="00F215E4"/>
    <w:rsid w:val="00F217CC"/>
    <w:rsid w:val="00F2225B"/>
    <w:rsid w:val="00F2345B"/>
    <w:rsid w:val="00F23876"/>
    <w:rsid w:val="00F35639"/>
    <w:rsid w:val="00F35A2B"/>
    <w:rsid w:val="00F41CA8"/>
    <w:rsid w:val="00F42C3A"/>
    <w:rsid w:val="00F462C8"/>
    <w:rsid w:val="00F51845"/>
    <w:rsid w:val="00F56CD5"/>
    <w:rsid w:val="00F576FF"/>
    <w:rsid w:val="00F57DC8"/>
    <w:rsid w:val="00F624DB"/>
    <w:rsid w:val="00F63B0E"/>
    <w:rsid w:val="00F66A3C"/>
    <w:rsid w:val="00F733A8"/>
    <w:rsid w:val="00F90D35"/>
    <w:rsid w:val="00F951FE"/>
    <w:rsid w:val="00FA1215"/>
    <w:rsid w:val="00FA6000"/>
    <w:rsid w:val="00FA7F5E"/>
    <w:rsid w:val="00FB49AA"/>
    <w:rsid w:val="00FB68D0"/>
    <w:rsid w:val="00FC33FF"/>
    <w:rsid w:val="00FC6AC6"/>
    <w:rsid w:val="00FD1CC2"/>
    <w:rsid w:val="00FD5852"/>
    <w:rsid w:val="00FD6827"/>
    <w:rsid w:val="00FD6EAA"/>
    <w:rsid w:val="00FE27EC"/>
    <w:rsid w:val="00FE5CFA"/>
    <w:rsid w:val="00FF4FC4"/>
    <w:rsid w:val="00FF666C"/>
  </w:rsids>
  <m:mathPr>
    <m:mathFont m:val="Cambria Math"/>
    <m:brkBin m:val="before"/>
    <m:brkBinSub m:val="--"/>
    <m:smallFrac m:val="0"/>
    <m:dispDef/>
    <m:lMargin m:val="0"/>
    <m:rMargin m:val="0"/>
    <m:defJc m:val="centerGroup"/>
    <m:wrapIndent m:val="1440"/>
    <m:intLim m:val="subSup"/>
    <m:naryLim m:val="undOvr"/>
  </m:mathPr>
  <w:themeFontLang w:val="en-I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8B889D"/>
  <w15:docId w15:val="{FB456654-433B-442D-8BDD-8FFE2D9E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4C3D"/>
    <w:pPr>
      <w:keepNext/>
      <w:keepLines/>
      <w:numPr>
        <w:numId w:val="3"/>
      </w:numPr>
      <w:spacing w:before="3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A61A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23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9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4C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A61AF"/>
    <w:rPr>
      <w:rFonts w:asciiTheme="majorHAnsi" w:eastAsiaTheme="majorEastAsia" w:hAnsiTheme="majorHAnsi" w:cstheme="majorBidi"/>
      <w:b/>
      <w:bCs/>
      <w:color w:val="4F81BD" w:themeColor="accent1"/>
    </w:rPr>
  </w:style>
  <w:style w:type="paragraph" w:styleId="ListParagraph">
    <w:name w:val="List Paragraph"/>
    <w:aliases w:val="Subtitle Cover Page,igunore,TNC Mulit-level list,1st Bullet Point,heading 1 em,Add On (orange),Bullet List,FooterText,numbered,List Paragraph1,Paragraphe de liste1,Bulletr List Paragraph,列出段落,列出段落1,List Paragraph2,List Paragraph21,リスト段落1"/>
    <w:basedOn w:val="Normal"/>
    <w:link w:val="ListParagraphChar"/>
    <w:uiPriority w:val="34"/>
    <w:qFormat/>
    <w:rsid w:val="003A61AF"/>
    <w:pPr>
      <w:ind w:left="720"/>
      <w:contextualSpacing/>
    </w:pPr>
  </w:style>
  <w:style w:type="character" w:customStyle="1" w:styleId="Heading4Char">
    <w:name w:val="Heading 4 Char"/>
    <w:basedOn w:val="DefaultParagraphFont"/>
    <w:link w:val="Heading4"/>
    <w:uiPriority w:val="9"/>
    <w:rsid w:val="0044239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A30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8E2"/>
  </w:style>
  <w:style w:type="paragraph" w:styleId="Footer">
    <w:name w:val="footer"/>
    <w:basedOn w:val="Normal"/>
    <w:link w:val="FooterChar"/>
    <w:uiPriority w:val="99"/>
    <w:unhideWhenUsed/>
    <w:rsid w:val="00A30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8E2"/>
  </w:style>
  <w:style w:type="paragraph" w:styleId="BalloonText">
    <w:name w:val="Balloon Text"/>
    <w:basedOn w:val="Normal"/>
    <w:link w:val="BalloonTextChar"/>
    <w:uiPriority w:val="99"/>
    <w:semiHidden/>
    <w:unhideWhenUsed/>
    <w:rsid w:val="006B2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AE3"/>
    <w:rPr>
      <w:rFonts w:ascii="Tahoma" w:hAnsi="Tahoma" w:cs="Tahoma"/>
      <w:sz w:val="16"/>
      <w:szCs w:val="16"/>
    </w:rPr>
  </w:style>
  <w:style w:type="paragraph" w:styleId="BodyText">
    <w:name w:val="Body Text"/>
    <w:basedOn w:val="Normal"/>
    <w:link w:val="BodyTextChar"/>
    <w:autoRedefine/>
    <w:rsid w:val="00C67F4E"/>
    <w:pPr>
      <w:tabs>
        <w:tab w:val="left" w:pos="794"/>
      </w:tabs>
      <w:spacing w:after="120" w:line="240" w:lineRule="auto"/>
      <w:jc w:val="both"/>
    </w:pPr>
    <w:rPr>
      <w:rFonts w:ascii="Times New Roman" w:eastAsia="Times New Roman" w:hAnsi="Times New Roman" w:cs="Times New Roman"/>
      <w:sz w:val="24"/>
      <w:szCs w:val="28"/>
      <w:lang w:val="en-GB"/>
    </w:rPr>
  </w:style>
  <w:style w:type="character" w:customStyle="1" w:styleId="BodyTextChar">
    <w:name w:val="Body Text Char"/>
    <w:basedOn w:val="DefaultParagraphFont"/>
    <w:link w:val="BodyText"/>
    <w:rsid w:val="00C67F4E"/>
    <w:rPr>
      <w:rFonts w:ascii="Times New Roman" w:eastAsia="Times New Roman" w:hAnsi="Times New Roman" w:cs="Times New Roman"/>
      <w:sz w:val="24"/>
      <w:szCs w:val="28"/>
      <w:lang w:val="en-GB"/>
    </w:rPr>
  </w:style>
  <w:style w:type="paragraph" w:customStyle="1" w:styleId="BodyTextIndent1">
    <w:name w:val="Body Text Indent 1"/>
    <w:basedOn w:val="BodyTextIndent"/>
    <w:rsid w:val="00C67F4E"/>
    <w:pPr>
      <w:widowControl w:val="0"/>
      <w:numPr>
        <w:ilvl w:val="3"/>
        <w:numId w:val="1"/>
      </w:numPr>
      <w:tabs>
        <w:tab w:val="clear" w:pos="-567"/>
        <w:tab w:val="num" w:pos="360"/>
      </w:tabs>
      <w:spacing w:after="240" w:line="240" w:lineRule="auto"/>
      <w:ind w:left="1247" w:hanging="340"/>
      <w:jc w:val="both"/>
      <w:outlineLvl w:val="3"/>
    </w:pPr>
    <w:rPr>
      <w:rFonts w:ascii="Times New Roman" w:eastAsia="Times New Roman" w:hAnsi="Times New Roman" w:cs="Times New Roman"/>
      <w:color w:val="000000"/>
      <w:sz w:val="24"/>
      <w:szCs w:val="24"/>
    </w:rPr>
  </w:style>
  <w:style w:type="paragraph" w:customStyle="1" w:styleId="StyleHeading2Characterscale0">
    <w:name w:val="Style Heading 2 + Character scale: 0%"/>
    <w:basedOn w:val="Heading2"/>
    <w:rsid w:val="00C67F4E"/>
    <w:pPr>
      <w:keepLines w:val="0"/>
      <w:tabs>
        <w:tab w:val="num" w:pos="360"/>
      </w:tabs>
      <w:spacing w:before="0" w:after="120" w:line="240" w:lineRule="auto"/>
      <w:jc w:val="both"/>
    </w:pPr>
    <w:rPr>
      <w:rFonts w:ascii="Times New Roman Bold" w:eastAsia="Times New Roman" w:hAnsi="Times New Roman Bold" w:cs="Times New Roman"/>
      <w:i/>
      <w:color w:val="auto"/>
      <w:w w:val="0"/>
      <w:sz w:val="24"/>
      <w:szCs w:val="24"/>
      <w:lang w:val="en-GB"/>
    </w:rPr>
  </w:style>
  <w:style w:type="paragraph" w:styleId="BodyTextIndent">
    <w:name w:val="Body Text Indent"/>
    <w:basedOn w:val="Normal"/>
    <w:link w:val="BodyTextIndentChar"/>
    <w:uiPriority w:val="99"/>
    <w:semiHidden/>
    <w:unhideWhenUsed/>
    <w:rsid w:val="00C67F4E"/>
    <w:pPr>
      <w:spacing w:after="120"/>
      <w:ind w:left="283"/>
    </w:pPr>
  </w:style>
  <w:style w:type="character" w:customStyle="1" w:styleId="BodyTextIndentChar">
    <w:name w:val="Body Text Indent Char"/>
    <w:basedOn w:val="DefaultParagraphFont"/>
    <w:link w:val="BodyTextIndent"/>
    <w:uiPriority w:val="99"/>
    <w:semiHidden/>
    <w:rsid w:val="00C67F4E"/>
  </w:style>
  <w:style w:type="table" w:styleId="TableGrid">
    <w:name w:val="Table Grid"/>
    <w:basedOn w:val="TableNormal"/>
    <w:uiPriority w:val="59"/>
    <w:rsid w:val="00974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THeading2">
    <w:name w:val="BRT Heading 2"/>
    <w:basedOn w:val="ListParagraph"/>
    <w:autoRedefine/>
    <w:qFormat/>
    <w:rsid w:val="00C650BD"/>
    <w:pPr>
      <w:widowControl w:val="0"/>
      <w:numPr>
        <w:ilvl w:val="1"/>
        <w:numId w:val="2"/>
      </w:numPr>
      <w:tabs>
        <w:tab w:val="num" w:pos="360"/>
      </w:tabs>
      <w:spacing w:line="240" w:lineRule="auto"/>
      <w:ind w:left="720" w:firstLine="0"/>
    </w:pPr>
    <w:rPr>
      <w:rFonts w:eastAsia="Arial Unicode MS" w:cs="Times New Roman"/>
      <w:i/>
      <w:noProof/>
      <w:sz w:val="24"/>
      <w:szCs w:val="24"/>
      <w:lang w:val="en-GB"/>
    </w:rPr>
  </w:style>
  <w:style w:type="character" w:customStyle="1" w:styleId="ListParagraphChar">
    <w:name w:val="List Paragraph Char"/>
    <w:aliases w:val="Subtitle Cover Page Char,igunore Char,TNC Mulit-level list Char,1st Bullet Point Char,heading 1 em Char,Add On (orange) Char,Bullet List Char,FooterText Char,numbered Char,List Paragraph1 Char,Paragraphe de liste1 Char,列出段落 Char"/>
    <w:link w:val="ListParagraph"/>
    <w:uiPriority w:val="34"/>
    <w:locked/>
    <w:rsid w:val="00720A46"/>
  </w:style>
  <w:style w:type="character" w:styleId="Hyperlink">
    <w:name w:val="Hyperlink"/>
    <w:basedOn w:val="DefaultParagraphFont"/>
    <w:uiPriority w:val="99"/>
    <w:unhideWhenUsed/>
    <w:rsid w:val="00AD05A0"/>
    <w:rPr>
      <w:color w:val="0000FF" w:themeColor="hyperlink"/>
      <w:u w:val="single"/>
    </w:rPr>
  </w:style>
  <w:style w:type="paragraph" w:styleId="FootnoteText">
    <w:name w:val="footnote text"/>
    <w:basedOn w:val="Normal"/>
    <w:link w:val="FootnoteTextChar"/>
    <w:uiPriority w:val="99"/>
    <w:semiHidden/>
    <w:unhideWhenUsed/>
    <w:rsid w:val="00AD05A0"/>
    <w:pPr>
      <w:spacing w:after="0" w:line="240" w:lineRule="auto"/>
    </w:pPr>
    <w:rPr>
      <w:rFonts w:ascii="Calibri" w:eastAsiaTheme="minorEastAsia" w:hAnsi="Calibri"/>
      <w:sz w:val="20"/>
      <w:szCs w:val="20"/>
    </w:rPr>
  </w:style>
  <w:style w:type="character" w:customStyle="1" w:styleId="FootnoteTextChar">
    <w:name w:val="Footnote Text Char"/>
    <w:basedOn w:val="DefaultParagraphFont"/>
    <w:link w:val="FootnoteText"/>
    <w:uiPriority w:val="99"/>
    <w:semiHidden/>
    <w:rsid w:val="00AD05A0"/>
    <w:rPr>
      <w:rFonts w:ascii="Calibri" w:eastAsiaTheme="minorEastAsia" w:hAnsi="Calibri"/>
      <w:sz w:val="20"/>
      <w:szCs w:val="20"/>
    </w:rPr>
  </w:style>
  <w:style w:type="character" w:styleId="FootnoteReference">
    <w:name w:val="footnote reference"/>
    <w:basedOn w:val="DefaultParagraphFont"/>
    <w:uiPriority w:val="99"/>
    <w:semiHidden/>
    <w:unhideWhenUsed/>
    <w:rsid w:val="00AD05A0"/>
    <w:rPr>
      <w:vertAlign w:val="superscript"/>
    </w:rPr>
  </w:style>
  <w:style w:type="paragraph" w:customStyle="1" w:styleId="Default">
    <w:name w:val="Default"/>
    <w:rsid w:val="000B4614"/>
    <w:pPr>
      <w:autoSpaceDE w:val="0"/>
      <w:autoSpaceDN w:val="0"/>
      <w:adjustRightInd w:val="0"/>
      <w:spacing w:after="0" w:line="240" w:lineRule="auto"/>
    </w:pPr>
    <w:rPr>
      <w:rFonts w:ascii="Symbol" w:hAnsi="Symbol" w:cs="Symbol"/>
      <w:color w:val="000000"/>
      <w:sz w:val="24"/>
      <w:szCs w:val="24"/>
    </w:rPr>
  </w:style>
  <w:style w:type="character" w:styleId="CommentReference">
    <w:name w:val="annotation reference"/>
    <w:basedOn w:val="DefaultParagraphFont"/>
    <w:uiPriority w:val="99"/>
    <w:semiHidden/>
    <w:unhideWhenUsed/>
    <w:rsid w:val="00FA7F5E"/>
    <w:rPr>
      <w:sz w:val="16"/>
      <w:szCs w:val="16"/>
    </w:rPr>
  </w:style>
  <w:style w:type="paragraph" w:styleId="CommentText">
    <w:name w:val="annotation text"/>
    <w:basedOn w:val="Normal"/>
    <w:link w:val="CommentTextChar"/>
    <w:uiPriority w:val="99"/>
    <w:unhideWhenUsed/>
    <w:rsid w:val="00FA7F5E"/>
    <w:pPr>
      <w:spacing w:line="240" w:lineRule="auto"/>
    </w:pPr>
    <w:rPr>
      <w:sz w:val="20"/>
      <w:szCs w:val="20"/>
    </w:rPr>
  </w:style>
  <w:style w:type="character" w:customStyle="1" w:styleId="CommentTextChar">
    <w:name w:val="Comment Text Char"/>
    <w:basedOn w:val="DefaultParagraphFont"/>
    <w:link w:val="CommentText"/>
    <w:uiPriority w:val="99"/>
    <w:rsid w:val="00FA7F5E"/>
    <w:rPr>
      <w:sz w:val="20"/>
      <w:szCs w:val="20"/>
    </w:rPr>
  </w:style>
  <w:style w:type="paragraph" w:styleId="CommentSubject">
    <w:name w:val="annotation subject"/>
    <w:basedOn w:val="CommentText"/>
    <w:next w:val="CommentText"/>
    <w:link w:val="CommentSubjectChar"/>
    <w:uiPriority w:val="99"/>
    <w:semiHidden/>
    <w:unhideWhenUsed/>
    <w:rsid w:val="00FA7F5E"/>
    <w:rPr>
      <w:b/>
      <w:bCs/>
    </w:rPr>
  </w:style>
  <w:style w:type="character" w:customStyle="1" w:styleId="CommentSubjectChar">
    <w:name w:val="Comment Subject Char"/>
    <w:basedOn w:val="CommentTextChar"/>
    <w:link w:val="CommentSubject"/>
    <w:uiPriority w:val="99"/>
    <w:semiHidden/>
    <w:rsid w:val="00FA7F5E"/>
    <w:rPr>
      <w:b/>
      <w:bCs/>
      <w:sz w:val="20"/>
      <w:szCs w:val="20"/>
    </w:rPr>
  </w:style>
  <w:style w:type="paragraph" w:styleId="Revision">
    <w:name w:val="Revision"/>
    <w:hidden/>
    <w:uiPriority w:val="99"/>
    <w:semiHidden/>
    <w:rsid w:val="00A315BE"/>
    <w:pPr>
      <w:spacing w:after="0" w:line="240" w:lineRule="auto"/>
    </w:pPr>
  </w:style>
  <w:style w:type="table" w:styleId="ListTable7ColourfulAccent1">
    <w:name w:val="List Table 7 Colorful Accent 1"/>
    <w:basedOn w:val="TableNormal"/>
    <w:uiPriority w:val="52"/>
    <w:rsid w:val="00CC50EA"/>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CC50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i-provider">
    <w:name w:val="ui-provider"/>
    <w:basedOn w:val="DefaultParagraphFont"/>
    <w:rsid w:val="00B100F8"/>
  </w:style>
  <w:style w:type="paragraph" w:styleId="Caption">
    <w:name w:val="caption"/>
    <w:basedOn w:val="Normal"/>
    <w:next w:val="Normal"/>
    <w:uiPriority w:val="35"/>
    <w:unhideWhenUsed/>
    <w:qFormat/>
    <w:rsid w:val="007D35F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5181">
      <w:bodyDiv w:val="1"/>
      <w:marLeft w:val="0"/>
      <w:marRight w:val="0"/>
      <w:marTop w:val="0"/>
      <w:marBottom w:val="0"/>
      <w:divBdr>
        <w:top w:val="none" w:sz="0" w:space="0" w:color="auto"/>
        <w:left w:val="none" w:sz="0" w:space="0" w:color="auto"/>
        <w:bottom w:val="none" w:sz="0" w:space="0" w:color="auto"/>
        <w:right w:val="none" w:sz="0" w:space="0" w:color="auto"/>
      </w:divBdr>
    </w:div>
    <w:div w:id="65887332">
      <w:bodyDiv w:val="1"/>
      <w:marLeft w:val="0"/>
      <w:marRight w:val="0"/>
      <w:marTop w:val="0"/>
      <w:marBottom w:val="0"/>
      <w:divBdr>
        <w:top w:val="none" w:sz="0" w:space="0" w:color="auto"/>
        <w:left w:val="none" w:sz="0" w:space="0" w:color="auto"/>
        <w:bottom w:val="none" w:sz="0" w:space="0" w:color="auto"/>
        <w:right w:val="none" w:sz="0" w:space="0" w:color="auto"/>
      </w:divBdr>
    </w:div>
    <w:div w:id="329334734">
      <w:bodyDiv w:val="1"/>
      <w:marLeft w:val="0"/>
      <w:marRight w:val="0"/>
      <w:marTop w:val="0"/>
      <w:marBottom w:val="0"/>
      <w:divBdr>
        <w:top w:val="none" w:sz="0" w:space="0" w:color="auto"/>
        <w:left w:val="none" w:sz="0" w:space="0" w:color="auto"/>
        <w:bottom w:val="none" w:sz="0" w:space="0" w:color="auto"/>
        <w:right w:val="none" w:sz="0" w:space="0" w:color="auto"/>
      </w:divBdr>
    </w:div>
    <w:div w:id="992946904">
      <w:bodyDiv w:val="1"/>
      <w:marLeft w:val="0"/>
      <w:marRight w:val="0"/>
      <w:marTop w:val="0"/>
      <w:marBottom w:val="0"/>
      <w:divBdr>
        <w:top w:val="none" w:sz="0" w:space="0" w:color="auto"/>
        <w:left w:val="none" w:sz="0" w:space="0" w:color="auto"/>
        <w:bottom w:val="none" w:sz="0" w:space="0" w:color="auto"/>
        <w:right w:val="none" w:sz="0" w:space="0" w:color="auto"/>
      </w:divBdr>
    </w:div>
    <w:div w:id="1411928369">
      <w:bodyDiv w:val="1"/>
      <w:marLeft w:val="0"/>
      <w:marRight w:val="0"/>
      <w:marTop w:val="0"/>
      <w:marBottom w:val="0"/>
      <w:divBdr>
        <w:top w:val="none" w:sz="0" w:space="0" w:color="auto"/>
        <w:left w:val="none" w:sz="0" w:space="0" w:color="auto"/>
        <w:bottom w:val="none" w:sz="0" w:space="0" w:color="auto"/>
        <w:right w:val="none" w:sz="0" w:space="0" w:color="auto"/>
      </w:divBdr>
      <w:divsChild>
        <w:div w:id="302542120">
          <w:marLeft w:val="720"/>
          <w:marRight w:val="0"/>
          <w:marTop w:val="120"/>
          <w:marBottom w:val="0"/>
          <w:divBdr>
            <w:top w:val="none" w:sz="0" w:space="0" w:color="auto"/>
            <w:left w:val="none" w:sz="0" w:space="0" w:color="auto"/>
            <w:bottom w:val="none" w:sz="0" w:space="0" w:color="auto"/>
            <w:right w:val="none" w:sz="0" w:space="0" w:color="auto"/>
          </w:divBdr>
        </w:div>
        <w:div w:id="610741206">
          <w:marLeft w:val="720"/>
          <w:marRight w:val="0"/>
          <w:marTop w:val="120"/>
          <w:marBottom w:val="0"/>
          <w:divBdr>
            <w:top w:val="none" w:sz="0" w:space="0" w:color="auto"/>
            <w:left w:val="none" w:sz="0" w:space="0" w:color="auto"/>
            <w:bottom w:val="none" w:sz="0" w:space="0" w:color="auto"/>
            <w:right w:val="none" w:sz="0" w:space="0" w:color="auto"/>
          </w:divBdr>
        </w:div>
        <w:div w:id="883950343">
          <w:marLeft w:val="720"/>
          <w:marRight w:val="0"/>
          <w:marTop w:val="120"/>
          <w:marBottom w:val="0"/>
          <w:divBdr>
            <w:top w:val="none" w:sz="0" w:space="0" w:color="auto"/>
            <w:left w:val="none" w:sz="0" w:space="0" w:color="auto"/>
            <w:bottom w:val="none" w:sz="0" w:space="0" w:color="auto"/>
            <w:right w:val="none" w:sz="0" w:space="0" w:color="auto"/>
          </w:divBdr>
        </w:div>
        <w:div w:id="1012339339">
          <w:marLeft w:val="720"/>
          <w:marRight w:val="0"/>
          <w:marTop w:val="120"/>
          <w:marBottom w:val="0"/>
          <w:divBdr>
            <w:top w:val="none" w:sz="0" w:space="0" w:color="auto"/>
            <w:left w:val="none" w:sz="0" w:space="0" w:color="auto"/>
            <w:bottom w:val="none" w:sz="0" w:space="0" w:color="auto"/>
            <w:right w:val="none" w:sz="0" w:space="0" w:color="auto"/>
          </w:divBdr>
        </w:div>
        <w:div w:id="1322810538">
          <w:marLeft w:val="720"/>
          <w:marRight w:val="0"/>
          <w:marTop w:val="120"/>
          <w:marBottom w:val="0"/>
          <w:divBdr>
            <w:top w:val="none" w:sz="0" w:space="0" w:color="auto"/>
            <w:left w:val="none" w:sz="0" w:space="0" w:color="auto"/>
            <w:bottom w:val="none" w:sz="0" w:space="0" w:color="auto"/>
            <w:right w:val="none" w:sz="0" w:space="0" w:color="auto"/>
          </w:divBdr>
        </w:div>
        <w:div w:id="1514687991">
          <w:marLeft w:val="720"/>
          <w:marRight w:val="0"/>
          <w:marTop w:val="120"/>
          <w:marBottom w:val="0"/>
          <w:divBdr>
            <w:top w:val="none" w:sz="0" w:space="0" w:color="auto"/>
            <w:left w:val="none" w:sz="0" w:space="0" w:color="auto"/>
            <w:bottom w:val="none" w:sz="0" w:space="0" w:color="auto"/>
            <w:right w:val="none" w:sz="0" w:space="0" w:color="auto"/>
          </w:divBdr>
        </w:div>
        <w:div w:id="1797869372">
          <w:marLeft w:val="720"/>
          <w:marRight w:val="0"/>
          <w:marTop w:val="120"/>
          <w:marBottom w:val="0"/>
          <w:divBdr>
            <w:top w:val="none" w:sz="0" w:space="0" w:color="auto"/>
            <w:left w:val="none" w:sz="0" w:space="0" w:color="auto"/>
            <w:bottom w:val="none" w:sz="0" w:space="0" w:color="auto"/>
            <w:right w:val="none" w:sz="0" w:space="0" w:color="auto"/>
          </w:divBdr>
        </w:div>
        <w:div w:id="1933973154">
          <w:marLeft w:val="720"/>
          <w:marRight w:val="0"/>
          <w:marTop w:val="120"/>
          <w:marBottom w:val="0"/>
          <w:divBdr>
            <w:top w:val="none" w:sz="0" w:space="0" w:color="auto"/>
            <w:left w:val="none" w:sz="0" w:space="0" w:color="auto"/>
            <w:bottom w:val="none" w:sz="0" w:space="0" w:color="auto"/>
            <w:right w:val="none" w:sz="0" w:space="0" w:color="auto"/>
          </w:divBdr>
        </w:div>
      </w:divsChild>
    </w:div>
    <w:div w:id="1512064296">
      <w:bodyDiv w:val="1"/>
      <w:marLeft w:val="0"/>
      <w:marRight w:val="0"/>
      <w:marTop w:val="0"/>
      <w:marBottom w:val="0"/>
      <w:divBdr>
        <w:top w:val="none" w:sz="0" w:space="0" w:color="auto"/>
        <w:left w:val="none" w:sz="0" w:space="0" w:color="auto"/>
        <w:bottom w:val="none" w:sz="0" w:space="0" w:color="auto"/>
        <w:right w:val="none" w:sz="0" w:space="0" w:color="auto"/>
      </w:divBdr>
    </w:div>
    <w:div w:id="1761758534">
      <w:bodyDiv w:val="1"/>
      <w:marLeft w:val="0"/>
      <w:marRight w:val="0"/>
      <w:marTop w:val="0"/>
      <w:marBottom w:val="0"/>
      <w:divBdr>
        <w:top w:val="none" w:sz="0" w:space="0" w:color="auto"/>
        <w:left w:val="none" w:sz="0" w:space="0" w:color="auto"/>
        <w:bottom w:val="none" w:sz="0" w:space="0" w:color="auto"/>
        <w:right w:val="none" w:sz="0" w:space="0" w:color="auto"/>
      </w:divBdr>
    </w:div>
    <w:div w:id="2034381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FC2EE5A6E3344184AAF1E404EFB9E5" ma:contentTypeVersion="12" ma:contentTypeDescription="Create a new document." ma:contentTypeScope="" ma:versionID="d6aeda9bf2e30872231d6aa55c64a45f">
  <xsd:schema xmlns:xsd="http://www.w3.org/2001/XMLSchema" xmlns:xs="http://www.w3.org/2001/XMLSchema" xmlns:p="http://schemas.microsoft.com/office/2006/metadata/properties" xmlns:ns3="26d02ecf-5e39-4b87-8746-710842678ec0" xmlns:ns4="8c500f15-e606-401c-8dec-b9bf129e6e91" targetNamespace="http://schemas.microsoft.com/office/2006/metadata/properties" ma:root="true" ma:fieldsID="8b3158cc9100295cab0f3912e8046fec" ns3:_="" ns4:_="">
    <xsd:import namespace="26d02ecf-5e39-4b87-8746-710842678ec0"/>
    <xsd:import namespace="8c500f15-e606-401c-8dec-b9bf129e6e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02ecf-5e39-4b87-8746-710842678e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500f15-e606-401c-8dec-b9bf129e6e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20D10-6DC8-4C19-87FB-511075B349D0}">
  <ds:schemaRefs>
    <ds:schemaRef ds:uri="http://schemas.openxmlformats.org/package/2006/metadata/core-properties"/>
    <ds:schemaRef ds:uri="8c500f15-e606-401c-8dec-b9bf129e6e91"/>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26d02ecf-5e39-4b87-8746-710842678ec0"/>
    <ds:schemaRef ds:uri="http://purl.org/dc/dcmitype/"/>
    <ds:schemaRef ds:uri="http://purl.org/dc/elements/1.1/"/>
    <ds:schemaRef ds:uri="http://purl.org/dc/terms/"/>
  </ds:schemaRefs>
</ds:datastoreItem>
</file>

<file path=customXml/itemProps2.xml><?xml version="1.0" encoding="utf-8"?>
<ds:datastoreItem xmlns:ds="http://schemas.openxmlformats.org/officeDocument/2006/customXml" ds:itemID="{39B5331D-E538-4E08-8508-7E7F27A6E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02ecf-5e39-4b87-8746-710842678ec0"/>
    <ds:schemaRef ds:uri="8c500f15-e606-401c-8dec-b9bf129e6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1182F8-95B2-498D-9311-925AE8FA3098}">
  <ds:schemaRefs>
    <ds:schemaRef ds:uri="http://schemas.openxmlformats.org/officeDocument/2006/bibliography"/>
  </ds:schemaRefs>
</ds:datastoreItem>
</file>

<file path=customXml/itemProps4.xml><?xml version="1.0" encoding="utf-8"?>
<ds:datastoreItem xmlns:ds="http://schemas.openxmlformats.org/officeDocument/2006/customXml" ds:itemID="{363070AA-CBE5-43D9-A1ED-7BBE5E267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823</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Freda Quinlan</dc:creator>
  <cp:keywords/>
  <dc:description/>
  <cp:lastModifiedBy>Hugh Creegan</cp:lastModifiedBy>
  <cp:revision>3</cp:revision>
  <cp:lastPrinted>2016-07-04T07:50:00Z</cp:lastPrinted>
  <dcterms:created xsi:type="dcterms:W3CDTF">2024-08-21T13:28:00Z</dcterms:created>
  <dcterms:modified xsi:type="dcterms:W3CDTF">2024-08-23T08:10:00Z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0x0101005AFC2EE5A6E3344184AAF1E404EFB9E5</vt:lpwstr>
  </property>
  <property fmtid="{D5CDD505-2E9C-101B-9397-08002B2CF9AE}" pid="3" name="GrammarlyDocumentId">
    <vt:lpwstr>c923d6a2b01759209af95cc2cc913ac20ae2fd8c681c87a9b7221d6ba77672a0</vt:lpwstr>
  </property>
</Properties>
</file>