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53C57411" w14:textId="77777777" w:rsidR="0027722F" w:rsidRDefault="0027722F" w:rsidP="00D75834">
      <w:pPr>
        <w:spacing w:line="360" w:lineRule="auto"/>
        <w:ind w:left="-720" w:right="-32"/>
        <w:jc w:val="center"/>
        <w:rPr>
          <w:rFonts w:ascii="Calibri" w:hAnsi="Calibri"/>
          <w:b/>
          <w:color w:val="000000" w:themeColor="text1"/>
          <w:sz w:val="36"/>
          <w:lang w:val="en-IE"/>
        </w:rPr>
      </w:pPr>
      <w:r w:rsidRPr="0027722F">
        <w:rPr>
          <w:rFonts w:ascii="Calibri" w:hAnsi="Calibri"/>
          <w:b/>
          <w:color w:val="000000" w:themeColor="text1"/>
          <w:sz w:val="36"/>
          <w:lang w:val="en-IE"/>
        </w:rPr>
        <w:t xml:space="preserve">Product Owner </w:t>
      </w:r>
    </w:p>
    <w:p w14:paraId="34F37E8F" w14:textId="4DCD305E"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13126F5D"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r w:rsidR="00B03E59">
        <w:rPr>
          <w:rFonts w:ascii="Calibri" w:hAnsi="Calibri"/>
          <w:color w:val="000000" w:themeColor="text1"/>
          <w:sz w:val="28"/>
          <w:lang w:val="en-IE"/>
        </w:rPr>
        <w:t>.</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622F9B5"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27722F" w:rsidRPr="0027722F">
              <w:rPr>
                <w:rFonts w:ascii="Calibri" w:hAnsi="Calibri" w:cs="Arial"/>
                <w:bCs/>
                <w:color w:val="000000" w:themeColor="text1"/>
                <w:sz w:val="22"/>
                <w:szCs w:val="22"/>
              </w:rPr>
              <w:t>Product Owner</w:t>
            </w:r>
          </w:p>
          <w:p w14:paraId="55A974E1" w14:textId="44CAB13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7722F">
              <w:rPr>
                <w:rFonts w:ascii="Calibri" w:hAnsi="Calibri" w:cs="Arial"/>
                <w:bCs/>
                <w:color w:val="000000" w:themeColor="text1"/>
                <w:sz w:val="22"/>
                <w:szCs w:val="22"/>
              </w:rPr>
              <w:t>Engineer Grade II</w:t>
            </w:r>
          </w:p>
          <w:p w14:paraId="60F5C90F" w14:textId="35513B61"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7722F">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7CB76AF0"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27722F" w:rsidRPr="0027722F">
              <w:rPr>
                <w:rFonts w:ascii="Calibri" w:hAnsi="Calibri" w:cs="Arial"/>
                <w:color w:val="000000" w:themeColor="text1"/>
                <w:sz w:val="22"/>
                <w:szCs w:val="22"/>
              </w:rPr>
              <w:t>Head of Transport Technology Systems</w:t>
            </w:r>
          </w:p>
          <w:p w14:paraId="2C13CA3F" w14:textId="77777777" w:rsidR="0033578B" w:rsidRPr="006F6F6F" w:rsidRDefault="0080272F" w:rsidP="0033578B">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3578B" w:rsidRPr="006F6F6F">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0E42AA55" w14:textId="77777777" w:rsidR="0033578B" w:rsidRDefault="0033578B" w:rsidP="0033578B">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6F6F6F">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Pr="006F6F6F">
              <w:rPr>
                <w:rFonts w:asciiTheme="minorHAnsi" w:eastAsiaTheme="minorHAnsi" w:hAnsiTheme="minorHAnsi" w:cstheme="minorBidi"/>
                <w:color w:val="000000" w:themeColor="text1"/>
                <w:sz w:val="22"/>
                <w:szCs w:val="22"/>
                <w:lang w:val="en-IE" w:eastAsia="en-US"/>
              </w:rPr>
              <w:t>model.</w:t>
            </w:r>
          </w:p>
          <w:p w14:paraId="2352DC36" w14:textId="2E8D3162"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27722F">
              <w:rPr>
                <w:rFonts w:asciiTheme="minorHAnsi" w:eastAsiaTheme="minorHAnsi" w:hAnsiTheme="minorHAnsi" w:cstheme="minorBidi"/>
                <w:color w:val="000000" w:themeColor="text1"/>
                <w:sz w:val="22"/>
                <w:szCs w:val="22"/>
                <w:lang w:val="en-IE" w:eastAsia="en-US"/>
              </w:rPr>
              <w:t>€</w:t>
            </w:r>
            <w:r w:rsidR="0027722F" w:rsidRPr="0027722F">
              <w:rPr>
                <w:rFonts w:asciiTheme="minorHAnsi" w:eastAsiaTheme="minorHAnsi" w:hAnsiTheme="minorHAnsi" w:cstheme="minorBidi"/>
                <w:color w:val="000000" w:themeColor="text1"/>
                <w:sz w:val="22"/>
                <w:szCs w:val="22"/>
                <w:lang w:val="en-IE" w:eastAsia="en-US"/>
              </w:rPr>
              <w:t>72</w:t>
            </w:r>
            <w:r w:rsidR="0027722F">
              <w:rPr>
                <w:rFonts w:asciiTheme="minorHAnsi" w:eastAsiaTheme="minorHAnsi" w:hAnsiTheme="minorHAnsi" w:cstheme="minorBidi"/>
                <w:color w:val="000000" w:themeColor="text1"/>
                <w:sz w:val="22"/>
                <w:szCs w:val="22"/>
                <w:lang w:val="en-IE" w:eastAsia="en-US"/>
              </w:rPr>
              <w:t>,</w:t>
            </w:r>
            <w:r w:rsidR="0027722F" w:rsidRPr="0027722F">
              <w:rPr>
                <w:rFonts w:asciiTheme="minorHAnsi" w:eastAsiaTheme="minorHAnsi" w:hAnsiTheme="minorHAnsi" w:cstheme="minorBidi"/>
                <w:color w:val="000000" w:themeColor="text1"/>
                <w:sz w:val="22"/>
                <w:szCs w:val="22"/>
                <w:lang w:val="en-IE" w:eastAsia="en-US"/>
              </w:rPr>
              <w:t>511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C2EB8EF"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27722F">
              <w:rPr>
                <w:rFonts w:ascii="Calibri" w:hAnsi="Calibri"/>
                <w:b/>
                <w:spacing w:val="-2"/>
                <w:sz w:val="22"/>
                <w:szCs w:val="22"/>
              </w:rPr>
              <w:t>29</w:t>
            </w:r>
            <w:r w:rsidR="0027722F" w:rsidRPr="0027722F">
              <w:rPr>
                <w:rFonts w:ascii="Calibri" w:hAnsi="Calibri"/>
                <w:b/>
                <w:spacing w:val="-2"/>
                <w:sz w:val="22"/>
                <w:szCs w:val="22"/>
                <w:vertAlign w:val="superscript"/>
              </w:rPr>
              <w:t>th</w:t>
            </w:r>
            <w:r w:rsidR="0027722F">
              <w:rPr>
                <w:rFonts w:ascii="Calibri" w:hAnsi="Calibri"/>
                <w:b/>
                <w:spacing w:val="-2"/>
                <w:sz w:val="22"/>
                <w:szCs w:val="22"/>
              </w:rPr>
              <w:t xml:space="preserve"> November 2024</w:t>
            </w:r>
          </w:p>
          <w:p w14:paraId="049439F1" w14:textId="21408EAB"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27722F" w:rsidRPr="0027722F">
              <w:rPr>
                <w:rFonts w:ascii="Calibri" w:hAnsi="Calibri"/>
                <w:b/>
                <w:spacing w:val="-2"/>
                <w:sz w:val="22"/>
                <w:szCs w:val="22"/>
              </w:rPr>
              <w:t>careers@nationaltransport.ie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1759C962"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w:t>
      </w:r>
      <w:r w:rsidR="00B03E59"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The Authority also licenses public bus passenger services delivered by private operators and has responsibility for the regulation of the small public service vehicle (SPSV) industry (taxis, hackneys and limousines)</w:t>
      </w:r>
      <w:r w:rsidR="00B03E59"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 xml:space="preserve">Other areas of </w:t>
      </w:r>
      <w:proofErr w:type="gramStart"/>
      <w:r w:rsidRPr="000F2327">
        <w:rPr>
          <w:rFonts w:asciiTheme="minorHAnsi" w:hAnsiTheme="minorHAnsi" w:cstheme="minorHAnsi"/>
          <w:color w:val="000000" w:themeColor="text1"/>
          <w:sz w:val="22"/>
          <w:szCs w:val="22"/>
        </w:rPr>
        <w:t>responsibility include</w:t>
      </w:r>
      <w:proofErr w:type="gramEnd"/>
      <w:r w:rsidRPr="000F2327">
        <w:rPr>
          <w:rFonts w:asciiTheme="minorHAnsi" w:hAnsiTheme="minorHAnsi" w:cstheme="minorHAnsi"/>
          <w:color w:val="000000" w:themeColor="text1"/>
          <w:sz w:val="22"/>
          <w:szCs w:val="22"/>
        </w:rPr>
        <w:t xml:space="preserv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Within the Greater Dublin Area (GDA) the Authority carries additional </w:t>
      </w:r>
      <w:proofErr w:type="gramStart"/>
      <w:r w:rsidRPr="000F2327">
        <w:rPr>
          <w:rFonts w:ascii="Calibri" w:hAnsi="Calibri"/>
          <w:color w:val="000000" w:themeColor="text1"/>
          <w:sz w:val="22"/>
          <w:szCs w:val="22"/>
        </w:rPr>
        <w:t>responsibilities including</w:t>
      </w:r>
      <w:proofErr w:type="gramEnd"/>
      <w:r w:rsidRPr="000F2327">
        <w:rPr>
          <w:rFonts w:ascii="Calibri" w:hAnsi="Calibri"/>
          <w:color w:val="000000" w:themeColor="text1"/>
          <w:sz w:val="22"/>
          <w:szCs w:val="22"/>
        </w:rPr>
        <w:t>:</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MetroLink, BusConnects Dublin and the DART+ Programme, together with </w:t>
      </w:r>
      <w:proofErr w:type="gramStart"/>
      <w:r>
        <w:rPr>
          <w:rFonts w:ascii="Calibri" w:hAnsi="Calibri"/>
          <w:sz w:val="22"/>
          <w:szCs w:val="22"/>
        </w:rPr>
        <w:t>numerous</w:t>
      </w:r>
      <w:proofErr w:type="gramEnd"/>
      <w:r>
        <w:rPr>
          <w:rFonts w:ascii="Calibri" w:hAnsi="Calibri"/>
          <w:sz w:val="22"/>
          <w:szCs w:val="22"/>
        </w:rPr>
        <w:t xml:space="preserve">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75F41385"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6811D0" w:rsidRPr="0027722F">
        <w:rPr>
          <w:rFonts w:ascii="Calibri" w:hAnsi="Calibri" w:cs="Arial"/>
          <w:bCs/>
          <w:color w:val="000000" w:themeColor="text1"/>
          <w:sz w:val="22"/>
          <w:szCs w:val="22"/>
        </w:rPr>
        <w:t>Product Owne</w:t>
      </w:r>
      <w:r w:rsidR="006811D0" w:rsidRPr="006811D0">
        <w:rPr>
          <w:rFonts w:ascii="Calibri" w:hAnsi="Calibri" w:cs="Arial"/>
          <w:bCs/>
          <w:color w:val="000000" w:themeColor="text1"/>
          <w:sz w:val="22"/>
          <w:szCs w:val="22"/>
        </w:rPr>
        <w:t>r</w:t>
      </w:r>
      <w:r w:rsidRPr="006811D0">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76F7A9E1" w14:textId="19D4E8A6" w:rsidR="002431CC" w:rsidRPr="002431CC" w:rsidRDefault="002431CC" w:rsidP="002431CC">
      <w:pPr>
        <w:pStyle w:val="BodyText"/>
        <w:kinsoku w:val="0"/>
        <w:overflowPunct w:val="0"/>
        <w:spacing w:line="360" w:lineRule="auto"/>
        <w:ind w:right="-32"/>
        <w:jc w:val="both"/>
        <w:rPr>
          <w:rFonts w:ascii="Calibri" w:hAnsi="Calibri" w:cs="Arial"/>
          <w:b/>
          <w:bCs/>
          <w:sz w:val="24"/>
          <w:szCs w:val="24"/>
          <w:lang w:val="en-IE" w:eastAsia="en-IE"/>
        </w:rPr>
      </w:pPr>
      <w:r w:rsidRPr="002431CC">
        <w:rPr>
          <w:rFonts w:ascii="Calibri" w:hAnsi="Calibri" w:cs="Arial"/>
          <w:b/>
          <w:bCs/>
          <w:sz w:val="24"/>
          <w:szCs w:val="24"/>
          <w:lang w:val="en-IE" w:eastAsia="en-IE"/>
        </w:rPr>
        <w:lastRenderedPageBreak/>
        <w:t xml:space="preserve">Transport Technology Department </w:t>
      </w:r>
    </w:p>
    <w:p w14:paraId="7D3442B6" w14:textId="57428338" w:rsidR="002431CC" w:rsidRDefault="002431CC" w:rsidP="002431CC">
      <w:pPr>
        <w:pStyle w:val="BodyText"/>
        <w:kinsoku w:val="0"/>
        <w:overflowPunct w:val="0"/>
        <w:spacing w:line="360" w:lineRule="auto"/>
        <w:ind w:right="-32"/>
        <w:jc w:val="both"/>
        <w:rPr>
          <w:rFonts w:ascii="Calibri" w:hAnsi="Calibri" w:cs="Arial"/>
          <w:sz w:val="22"/>
          <w:szCs w:val="22"/>
          <w:lang w:val="en-IE" w:eastAsia="en-IE"/>
        </w:rPr>
      </w:pPr>
      <w:r w:rsidRPr="00C1270D">
        <w:rPr>
          <w:rFonts w:ascii="Calibri" w:hAnsi="Calibri" w:cs="Arial"/>
          <w:sz w:val="22"/>
          <w:szCs w:val="22"/>
          <w:lang w:val="en-IE" w:eastAsia="en-IE"/>
        </w:rPr>
        <w:t>The NTA’s Transport Technology</w:t>
      </w:r>
      <w:r>
        <w:rPr>
          <w:rFonts w:ascii="Calibri" w:hAnsi="Calibri" w:cs="Arial"/>
          <w:sz w:val="22"/>
          <w:szCs w:val="22"/>
          <w:lang w:val="en-IE" w:eastAsia="en-IE"/>
        </w:rPr>
        <w:t xml:space="preserve"> (TT)</w:t>
      </w:r>
      <w:r w:rsidRPr="00C1270D">
        <w:rPr>
          <w:rFonts w:ascii="Calibri" w:hAnsi="Calibri" w:cs="Arial"/>
          <w:sz w:val="22"/>
          <w:szCs w:val="22"/>
          <w:lang w:val="en-IE" w:eastAsia="en-IE"/>
        </w:rPr>
        <w:t xml:space="preserve"> </w:t>
      </w:r>
      <w:r>
        <w:rPr>
          <w:rFonts w:ascii="Calibri" w:hAnsi="Calibri" w:cs="Arial"/>
          <w:sz w:val="22"/>
          <w:szCs w:val="22"/>
          <w:lang w:val="en-IE" w:eastAsia="en-IE"/>
        </w:rPr>
        <w:t>department</w:t>
      </w:r>
      <w:r w:rsidRPr="00C1270D">
        <w:rPr>
          <w:rFonts w:ascii="Calibri" w:hAnsi="Calibri" w:cs="Arial"/>
          <w:sz w:val="22"/>
          <w:szCs w:val="22"/>
          <w:lang w:val="en-IE" w:eastAsia="en-IE"/>
        </w:rPr>
        <w:t xml:space="preserve"> is responsible for</w:t>
      </w:r>
      <w:r>
        <w:rPr>
          <w:rFonts w:ascii="Calibri" w:hAnsi="Calibri" w:cs="Arial"/>
          <w:sz w:val="22"/>
          <w:szCs w:val="22"/>
          <w:lang w:val="en-IE" w:eastAsia="en-IE"/>
        </w:rPr>
        <w:t xml:space="preserve"> overseeing</w:t>
      </w:r>
      <w:r w:rsidRPr="00C1270D">
        <w:rPr>
          <w:rFonts w:ascii="Calibri" w:hAnsi="Calibri" w:cs="Arial"/>
          <w:sz w:val="22"/>
          <w:szCs w:val="22"/>
          <w:lang w:val="en-IE" w:eastAsia="en-IE"/>
        </w:rPr>
        <w:t xml:space="preserve"> the</w:t>
      </w:r>
      <w:r>
        <w:rPr>
          <w:rFonts w:ascii="Calibri" w:hAnsi="Calibri" w:cs="Arial"/>
          <w:sz w:val="22"/>
          <w:szCs w:val="22"/>
          <w:lang w:val="en-IE" w:eastAsia="en-IE"/>
        </w:rPr>
        <w:t xml:space="preserve"> delivery and subsequent</w:t>
      </w:r>
      <w:r w:rsidRPr="00C1270D">
        <w:rPr>
          <w:rFonts w:ascii="Calibri" w:hAnsi="Calibri" w:cs="Arial"/>
          <w:sz w:val="22"/>
          <w:szCs w:val="22"/>
          <w:lang w:val="en-IE" w:eastAsia="en-IE"/>
        </w:rPr>
        <w:t xml:space="preserve"> operation of technology solutions across </w:t>
      </w:r>
      <w:r>
        <w:rPr>
          <w:rFonts w:ascii="Calibri" w:hAnsi="Calibri" w:cs="Arial"/>
          <w:sz w:val="22"/>
          <w:szCs w:val="22"/>
          <w:lang w:val="en-IE" w:eastAsia="en-IE"/>
        </w:rPr>
        <w:t>four</w:t>
      </w:r>
      <w:r w:rsidRPr="00C1270D">
        <w:rPr>
          <w:rFonts w:ascii="Calibri" w:hAnsi="Calibri" w:cs="Arial"/>
          <w:sz w:val="22"/>
          <w:szCs w:val="22"/>
          <w:lang w:val="en-IE" w:eastAsia="en-IE"/>
        </w:rPr>
        <w:t xml:space="preserve"> principal areas: Ticketing</w:t>
      </w:r>
      <w:r>
        <w:rPr>
          <w:rFonts w:ascii="Calibri" w:hAnsi="Calibri" w:cs="Arial"/>
          <w:sz w:val="22"/>
          <w:szCs w:val="22"/>
          <w:lang w:val="en-IE" w:eastAsia="en-IE"/>
        </w:rPr>
        <w:t xml:space="preserve"> (T</w:t>
      </w:r>
      <w:r w:rsidR="00461407">
        <w:rPr>
          <w:rFonts w:ascii="Calibri" w:hAnsi="Calibri" w:cs="Arial"/>
          <w:sz w:val="22"/>
          <w:szCs w:val="22"/>
          <w:lang w:val="en-IE" w:eastAsia="en-IE"/>
        </w:rPr>
        <w:t xml:space="preserve">ransport </w:t>
      </w:r>
      <w:r>
        <w:rPr>
          <w:rFonts w:ascii="Calibri" w:hAnsi="Calibri" w:cs="Arial"/>
          <w:sz w:val="22"/>
          <w:szCs w:val="22"/>
          <w:lang w:val="en-IE" w:eastAsia="en-IE"/>
        </w:rPr>
        <w:t>F</w:t>
      </w:r>
      <w:r w:rsidR="00461407">
        <w:rPr>
          <w:rFonts w:ascii="Calibri" w:hAnsi="Calibri" w:cs="Arial"/>
          <w:sz w:val="22"/>
          <w:szCs w:val="22"/>
          <w:lang w:val="en-IE" w:eastAsia="en-IE"/>
        </w:rPr>
        <w:t xml:space="preserve">or </w:t>
      </w:r>
      <w:r>
        <w:rPr>
          <w:rFonts w:ascii="Calibri" w:hAnsi="Calibri" w:cs="Arial"/>
          <w:sz w:val="22"/>
          <w:szCs w:val="22"/>
          <w:lang w:val="en-IE" w:eastAsia="en-IE"/>
        </w:rPr>
        <w:t>I</w:t>
      </w:r>
      <w:r w:rsidR="00461407">
        <w:rPr>
          <w:rFonts w:ascii="Calibri" w:hAnsi="Calibri" w:cs="Arial"/>
          <w:sz w:val="22"/>
          <w:szCs w:val="22"/>
          <w:lang w:val="en-IE" w:eastAsia="en-IE"/>
        </w:rPr>
        <w:t>reland (TFI)</w:t>
      </w:r>
      <w:r>
        <w:rPr>
          <w:rFonts w:ascii="Calibri" w:hAnsi="Calibri" w:cs="Arial"/>
          <w:sz w:val="22"/>
          <w:szCs w:val="22"/>
          <w:lang w:val="en-IE" w:eastAsia="en-IE"/>
        </w:rPr>
        <w:t xml:space="preserve"> Leap Card, TFI Go, Leap Top-Up)</w:t>
      </w:r>
      <w:r w:rsidRPr="00C1270D">
        <w:rPr>
          <w:rFonts w:ascii="Calibri" w:hAnsi="Calibri" w:cs="Arial"/>
          <w:sz w:val="22"/>
          <w:szCs w:val="22"/>
          <w:lang w:val="en-IE" w:eastAsia="en-IE"/>
        </w:rPr>
        <w:t>, Automatic Vehicle Location (AVL)</w:t>
      </w:r>
      <w:r>
        <w:rPr>
          <w:rFonts w:ascii="Calibri" w:hAnsi="Calibri" w:cs="Arial"/>
          <w:sz w:val="22"/>
          <w:szCs w:val="22"/>
          <w:lang w:val="en-IE" w:eastAsia="en-IE"/>
        </w:rPr>
        <w:t xml:space="preserve">, </w:t>
      </w:r>
      <w:r w:rsidRPr="00C1270D">
        <w:rPr>
          <w:rFonts w:ascii="Calibri" w:hAnsi="Calibri" w:cs="Arial"/>
          <w:sz w:val="22"/>
          <w:szCs w:val="22"/>
          <w:lang w:val="en-IE" w:eastAsia="en-IE"/>
        </w:rPr>
        <w:t>Real-Time Passenger Information</w:t>
      </w:r>
      <w:r>
        <w:rPr>
          <w:rFonts w:ascii="Calibri" w:hAnsi="Calibri" w:cs="Arial"/>
          <w:sz w:val="22"/>
          <w:szCs w:val="22"/>
          <w:lang w:val="en-IE" w:eastAsia="en-IE"/>
        </w:rPr>
        <w:t xml:space="preserve"> (RTPI) and National Journey Planner systems</w:t>
      </w:r>
      <w:r w:rsidRPr="00C1270D">
        <w:rPr>
          <w:rFonts w:ascii="Calibri" w:hAnsi="Calibri" w:cs="Arial"/>
          <w:sz w:val="22"/>
          <w:szCs w:val="22"/>
          <w:lang w:val="en-IE" w:eastAsia="en-IE"/>
        </w:rPr>
        <w:t xml:space="preserve"> (</w:t>
      </w:r>
      <w:r>
        <w:rPr>
          <w:rFonts w:ascii="Calibri" w:hAnsi="Calibri" w:cs="Arial"/>
          <w:sz w:val="22"/>
          <w:szCs w:val="22"/>
          <w:lang w:val="en-IE" w:eastAsia="en-IE"/>
        </w:rPr>
        <w:t>TFI Live)</w:t>
      </w:r>
      <w:r w:rsidRPr="00C1270D">
        <w:rPr>
          <w:rFonts w:ascii="Calibri" w:hAnsi="Calibri" w:cs="Arial"/>
          <w:sz w:val="22"/>
          <w:szCs w:val="22"/>
          <w:lang w:val="en-IE" w:eastAsia="en-IE"/>
        </w:rPr>
        <w:t>.</w:t>
      </w:r>
      <w:r>
        <w:rPr>
          <w:rFonts w:ascii="Calibri" w:hAnsi="Calibri" w:cs="Arial"/>
          <w:sz w:val="22"/>
          <w:szCs w:val="22"/>
          <w:lang w:val="en-IE" w:eastAsia="en-IE"/>
        </w:rPr>
        <w:t xml:space="preserve">  </w:t>
      </w:r>
    </w:p>
    <w:p w14:paraId="58F04D5B" w14:textId="77777777" w:rsidR="002431CC" w:rsidRDefault="002431CC" w:rsidP="002431CC">
      <w:pPr>
        <w:pStyle w:val="BodyText"/>
        <w:kinsoku w:val="0"/>
        <w:overflowPunct w:val="0"/>
        <w:spacing w:line="360" w:lineRule="auto"/>
        <w:ind w:right="-32"/>
        <w:jc w:val="both"/>
        <w:rPr>
          <w:rFonts w:ascii="Calibri" w:hAnsi="Calibri" w:cs="Arial"/>
          <w:sz w:val="22"/>
          <w:szCs w:val="22"/>
          <w:lang w:val="en-IE" w:eastAsia="en-IE"/>
        </w:rPr>
      </w:pPr>
    </w:p>
    <w:p w14:paraId="15D48509" w14:textId="77777777" w:rsidR="002431CC" w:rsidRDefault="002431CC" w:rsidP="002431CC">
      <w:pPr>
        <w:pStyle w:val="BodyText"/>
        <w:kinsoku w:val="0"/>
        <w:overflowPunct w:val="0"/>
        <w:spacing w:line="360" w:lineRule="auto"/>
        <w:ind w:right="-32"/>
        <w:jc w:val="both"/>
        <w:rPr>
          <w:rFonts w:ascii="Calibri" w:hAnsi="Calibri" w:cs="Arial"/>
          <w:sz w:val="22"/>
          <w:szCs w:val="22"/>
          <w:lang w:val="en-IE" w:eastAsia="en-IE"/>
        </w:rPr>
      </w:pPr>
      <w:r w:rsidRPr="0046437E">
        <w:rPr>
          <w:rFonts w:ascii="Calibri" w:hAnsi="Calibri" w:cs="Arial"/>
          <w:sz w:val="22"/>
          <w:szCs w:val="22"/>
          <w:lang w:val="en-IE" w:eastAsia="en-IE"/>
        </w:rPr>
        <w:t xml:space="preserve">The </w:t>
      </w:r>
      <w:r w:rsidRPr="0046437E">
        <w:rPr>
          <w:rFonts w:ascii="Calibri" w:hAnsi="Calibri" w:cs="Arial"/>
          <w:i/>
          <w:iCs/>
          <w:sz w:val="22"/>
          <w:szCs w:val="22"/>
          <w:lang w:val="en-IE" w:eastAsia="en-IE"/>
        </w:rPr>
        <w:t>Transport Technology Systems Team</w:t>
      </w:r>
      <w:r w:rsidRPr="0046437E">
        <w:rPr>
          <w:rFonts w:ascii="Calibri" w:hAnsi="Calibri" w:cs="Arial"/>
          <w:sz w:val="22"/>
          <w:szCs w:val="22"/>
          <w:lang w:val="en-IE" w:eastAsia="en-IE"/>
        </w:rPr>
        <w:t xml:space="preserve"> sources, develops and delivers new systems and enhancements, both via dedicated project teams involving external suppliers as well as via in-house resources. The </w:t>
      </w:r>
      <w:r w:rsidRPr="0046437E">
        <w:rPr>
          <w:rFonts w:ascii="Calibri" w:hAnsi="Calibri" w:cs="Arial"/>
          <w:i/>
          <w:iCs/>
          <w:sz w:val="22"/>
          <w:szCs w:val="22"/>
          <w:lang w:val="en-IE" w:eastAsia="en-IE"/>
        </w:rPr>
        <w:t>Transport Technology Operations Team</w:t>
      </w:r>
      <w:r w:rsidRPr="0046437E">
        <w:rPr>
          <w:rFonts w:ascii="Calibri" w:hAnsi="Calibri" w:cs="Arial"/>
          <w:sz w:val="22"/>
          <w:szCs w:val="22"/>
          <w:lang w:val="en-IE" w:eastAsia="en-IE"/>
        </w:rPr>
        <w:t xml:space="preserve"> ensures that the supplied systems are operated and maintained within agreed service levels, manages service delivery, and handles all incidents and outages with live systems.</w:t>
      </w:r>
    </w:p>
    <w:p w14:paraId="1500701B" w14:textId="77777777" w:rsidR="002431CC" w:rsidRDefault="002431CC" w:rsidP="002431CC">
      <w:pPr>
        <w:pStyle w:val="BodyText"/>
        <w:kinsoku w:val="0"/>
        <w:overflowPunct w:val="0"/>
        <w:spacing w:line="360" w:lineRule="auto"/>
        <w:ind w:right="-32"/>
        <w:jc w:val="both"/>
        <w:rPr>
          <w:rFonts w:ascii="Calibri" w:hAnsi="Calibri" w:cs="Arial"/>
          <w:sz w:val="22"/>
          <w:szCs w:val="22"/>
          <w:lang w:val="en-IE" w:eastAsia="en-IE"/>
        </w:rPr>
      </w:pPr>
    </w:p>
    <w:p w14:paraId="4CD97A60" w14:textId="5D3C89D8" w:rsidR="002431CC" w:rsidRPr="00461407" w:rsidRDefault="002431CC" w:rsidP="002431CC">
      <w:pPr>
        <w:pStyle w:val="BodyText"/>
        <w:kinsoku w:val="0"/>
        <w:overflowPunct w:val="0"/>
        <w:spacing w:line="360" w:lineRule="auto"/>
        <w:ind w:right="-32"/>
        <w:jc w:val="both"/>
        <w:rPr>
          <w:rFonts w:ascii="Calibri" w:hAnsi="Calibri" w:cs="Arial"/>
          <w:sz w:val="22"/>
          <w:szCs w:val="22"/>
          <w:lang w:val="en-IE" w:eastAsia="en-IE"/>
        </w:rPr>
      </w:pPr>
      <w:r w:rsidRPr="00760B0A">
        <w:rPr>
          <w:rFonts w:ascii="Calibri" w:hAnsi="Calibri" w:cs="Arial"/>
          <w:sz w:val="22"/>
          <w:szCs w:val="22"/>
          <w:lang w:val="en-IE" w:eastAsia="en-IE"/>
        </w:rPr>
        <w:t>The Transport Technology department is responsible for several high</w:t>
      </w:r>
      <w:r>
        <w:rPr>
          <w:rFonts w:ascii="Calibri" w:hAnsi="Calibri" w:cs="Arial"/>
          <w:sz w:val="22"/>
          <w:szCs w:val="22"/>
          <w:lang w:val="en-IE" w:eastAsia="en-IE"/>
        </w:rPr>
        <w:t>-</w:t>
      </w:r>
      <w:r w:rsidRPr="00760B0A">
        <w:rPr>
          <w:rFonts w:ascii="Calibri" w:hAnsi="Calibri" w:cs="Arial"/>
          <w:sz w:val="22"/>
          <w:szCs w:val="22"/>
          <w:lang w:val="en-IE" w:eastAsia="en-IE"/>
        </w:rPr>
        <w:t xml:space="preserve">profile consumer mobile applications </w:t>
      </w:r>
      <w:r>
        <w:rPr>
          <w:rFonts w:ascii="Calibri" w:hAnsi="Calibri" w:cs="Arial"/>
          <w:sz w:val="22"/>
          <w:szCs w:val="22"/>
          <w:lang w:val="en-IE" w:eastAsia="en-IE"/>
        </w:rPr>
        <w:t xml:space="preserve">and websites </w:t>
      </w:r>
      <w:r w:rsidRPr="00760B0A">
        <w:rPr>
          <w:rFonts w:ascii="Calibri" w:hAnsi="Calibri" w:cs="Arial"/>
          <w:sz w:val="22"/>
          <w:szCs w:val="22"/>
          <w:lang w:val="en-IE" w:eastAsia="en-IE"/>
        </w:rPr>
        <w:t>on both iOS and Android</w:t>
      </w:r>
      <w:r>
        <w:rPr>
          <w:rFonts w:ascii="Calibri" w:hAnsi="Calibri" w:cs="Arial"/>
          <w:sz w:val="22"/>
          <w:szCs w:val="22"/>
          <w:lang w:val="en-IE" w:eastAsia="en-IE"/>
        </w:rPr>
        <w:t xml:space="preserve">, including TFI Live, Leap Top-Up, Leapcard.ie and TFI Go. Currently the Transport Technology department is working on the Next Generation Ticketing (NGT) project, which will ultimately replace the successful Leap Card system and associated apps. </w:t>
      </w:r>
    </w:p>
    <w:p w14:paraId="4E38820D" w14:textId="77777777" w:rsidR="002431CC" w:rsidRDefault="002431CC" w:rsidP="002431CC">
      <w:pPr>
        <w:pStyle w:val="BodyText"/>
        <w:kinsoku w:val="0"/>
        <w:overflowPunct w:val="0"/>
        <w:spacing w:line="360" w:lineRule="auto"/>
        <w:ind w:right="-32"/>
        <w:jc w:val="both"/>
        <w:rPr>
          <w:rFonts w:ascii="Calibri" w:hAnsi="Calibri" w:cs="Arial"/>
          <w:sz w:val="22"/>
          <w:szCs w:val="22"/>
          <w:lang w:val="en-IE" w:eastAsia="en-IE"/>
        </w:rPr>
      </w:pPr>
    </w:p>
    <w:p w14:paraId="596407F9" w14:textId="203E872F" w:rsidR="002431CC" w:rsidRPr="002431CC" w:rsidRDefault="002431CC" w:rsidP="002431CC">
      <w:pPr>
        <w:pStyle w:val="BodyText"/>
        <w:kinsoku w:val="0"/>
        <w:overflowPunct w:val="0"/>
        <w:spacing w:line="360" w:lineRule="auto"/>
        <w:ind w:right="-32"/>
        <w:jc w:val="both"/>
        <w:rPr>
          <w:rFonts w:ascii="Calibri" w:hAnsi="Calibri" w:cs="Arial"/>
          <w:b/>
          <w:iCs/>
          <w:sz w:val="24"/>
          <w:szCs w:val="24"/>
          <w:lang w:val="en-IE" w:eastAsia="en-IE"/>
        </w:rPr>
      </w:pPr>
      <w:r w:rsidRPr="002431CC">
        <w:rPr>
          <w:rFonts w:ascii="Calibri" w:hAnsi="Calibri" w:cs="Arial"/>
          <w:b/>
          <w:iCs/>
          <w:sz w:val="24"/>
          <w:szCs w:val="24"/>
          <w:lang w:val="en-IE" w:eastAsia="en-IE"/>
        </w:rPr>
        <w:t>The Role</w:t>
      </w:r>
    </w:p>
    <w:p w14:paraId="42A6CE09" w14:textId="61F732BD" w:rsidR="002431CC" w:rsidRDefault="00461407" w:rsidP="002431CC">
      <w:pPr>
        <w:spacing w:line="360" w:lineRule="auto"/>
        <w:ind w:right="-32"/>
        <w:jc w:val="both"/>
        <w:rPr>
          <w:rFonts w:asciiTheme="minorHAnsi" w:hAnsiTheme="minorHAnsi" w:cstheme="minorHAnsi"/>
          <w:color w:val="000000" w:themeColor="text1"/>
          <w:sz w:val="22"/>
          <w:szCs w:val="22"/>
          <w:lang w:val="en-IE"/>
        </w:rPr>
      </w:pPr>
      <w:r w:rsidRPr="00C100A4">
        <w:rPr>
          <w:rFonts w:asciiTheme="minorHAnsi" w:hAnsiTheme="minorHAnsi" w:cstheme="minorHAnsi"/>
          <w:sz w:val="22"/>
          <w:szCs w:val="22"/>
          <w:lang w:val="en-IE" w:eastAsia="en-US"/>
        </w:rPr>
        <w:t xml:space="preserve">The </w:t>
      </w:r>
      <w:r>
        <w:rPr>
          <w:rFonts w:asciiTheme="minorHAnsi" w:hAnsiTheme="minorHAnsi" w:cstheme="minorHAnsi"/>
          <w:sz w:val="22"/>
          <w:szCs w:val="22"/>
          <w:lang w:val="en-IE" w:eastAsia="en-US"/>
        </w:rPr>
        <w:t>NTA</w:t>
      </w:r>
      <w:r w:rsidRPr="00C100A4">
        <w:rPr>
          <w:rFonts w:asciiTheme="minorHAnsi" w:hAnsiTheme="minorHAnsi" w:cstheme="minorHAnsi"/>
          <w:sz w:val="22"/>
          <w:szCs w:val="22"/>
          <w:lang w:val="en-IE" w:eastAsia="en-US"/>
        </w:rPr>
        <w:t xml:space="preserve"> wishes to recruit a suitably experienced and qualified individual to the role of </w:t>
      </w:r>
      <w:r>
        <w:rPr>
          <w:rFonts w:asciiTheme="minorHAnsi" w:hAnsiTheme="minorHAnsi" w:cstheme="minorHAnsi"/>
          <w:sz w:val="22"/>
          <w:szCs w:val="22"/>
          <w:lang w:val="en-IE" w:eastAsia="en-US"/>
        </w:rPr>
        <w:t xml:space="preserve">Product Owner to </w:t>
      </w:r>
      <w:r w:rsidRPr="008B771A">
        <w:rPr>
          <w:rFonts w:asciiTheme="minorHAnsi" w:hAnsiTheme="minorHAnsi" w:cstheme="minorHAnsi"/>
          <w:sz w:val="22"/>
          <w:szCs w:val="22"/>
          <w:lang w:val="en-IE" w:eastAsia="en-US"/>
        </w:rPr>
        <w:t xml:space="preserve">act as the primary person responsible for </w:t>
      </w:r>
      <w:r>
        <w:rPr>
          <w:rFonts w:asciiTheme="minorHAnsi" w:hAnsiTheme="minorHAnsi" w:cstheme="minorHAnsi"/>
          <w:sz w:val="22"/>
          <w:szCs w:val="22"/>
          <w:lang w:val="en-IE" w:eastAsia="en-US"/>
        </w:rPr>
        <w:t xml:space="preserve">the development and enhancement of one of more mobile apps, systems and/or websites within the remit of the </w:t>
      </w:r>
      <w:r>
        <w:rPr>
          <w:rFonts w:ascii="Calibri" w:hAnsi="Calibri" w:cs="Arial"/>
          <w:sz w:val="22"/>
          <w:szCs w:val="22"/>
          <w:lang w:val="en-IE" w:eastAsia="en-IE"/>
        </w:rPr>
        <w:t>Transport Technology Directorate</w:t>
      </w:r>
      <w:r>
        <w:rPr>
          <w:rFonts w:ascii="Calibri" w:hAnsi="Calibri" w:cs="Arial"/>
          <w:sz w:val="22"/>
          <w:szCs w:val="22"/>
          <w:lang w:val="en-IE" w:eastAsia="en-IE"/>
        </w:rPr>
        <w:t xml:space="preserve">.  </w:t>
      </w:r>
      <w:r w:rsidR="002431CC" w:rsidRPr="00D22136">
        <w:rPr>
          <w:rFonts w:ascii="Calibri" w:eastAsia="Calibri" w:hAnsi="Calibri"/>
          <w:color w:val="000000"/>
          <w:sz w:val="22"/>
          <w:szCs w:val="22"/>
          <w:lang w:val="en-IE" w:eastAsia="en-US"/>
        </w:rPr>
        <w:t>Reporting to the Head</w:t>
      </w:r>
      <w:r w:rsidR="002431CC">
        <w:rPr>
          <w:rFonts w:ascii="Calibri" w:eastAsia="Calibri" w:hAnsi="Calibri"/>
          <w:color w:val="000000"/>
          <w:sz w:val="22"/>
          <w:szCs w:val="22"/>
          <w:lang w:val="en-IE" w:eastAsia="en-US"/>
        </w:rPr>
        <w:t xml:space="preserve"> of Transport Technology Systems, t</w:t>
      </w:r>
      <w:r w:rsidR="002431CC" w:rsidRPr="006C1368">
        <w:rPr>
          <w:rFonts w:ascii="Calibri" w:hAnsi="Calibri" w:cs="Arial"/>
          <w:sz w:val="22"/>
          <w:szCs w:val="22"/>
          <w:lang w:val="en-IE" w:eastAsia="en-IE"/>
        </w:rPr>
        <w:t xml:space="preserve">he </w:t>
      </w:r>
      <w:r w:rsidR="002431CC" w:rsidRPr="00616D75">
        <w:rPr>
          <w:rFonts w:ascii="Calibri" w:hAnsi="Calibri" w:cs="Arial"/>
          <w:sz w:val="22"/>
          <w:szCs w:val="22"/>
          <w:lang w:val="en-IE" w:eastAsia="en-IE"/>
        </w:rPr>
        <w:t>successful candidate</w:t>
      </w:r>
      <w:r w:rsidR="002431CC" w:rsidRPr="0054619A">
        <w:rPr>
          <w:rFonts w:asciiTheme="minorHAnsi" w:hAnsiTheme="minorHAnsi" w:cstheme="minorHAnsi"/>
          <w:color w:val="000000" w:themeColor="text1"/>
          <w:sz w:val="22"/>
          <w:szCs w:val="22"/>
          <w:lang w:val="en-IE"/>
        </w:rPr>
        <w:t xml:space="preserve"> will </w:t>
      </w:r>
      <w:r w:rsidR="002431CC">
        <w:rPr>
          <w:rFonts w:asciiTheme="minorHAnsi" w:hAnsiTheme="minorHAnsi" w:cstheme="minorHAnsi"/>
          <w:color w:val="000000" w:themeColor="text1"/>
          <w:sz w:val="22"/>
          <w:szCs w:val="22"/>
          <w:lang w:val="en-IE"/>
        </w:rPr>
        <w:t xml:space="preserve">put the customer first and will </w:t>
      </w:r>
      <w:r w:rsidR="002431CC" w:rsidRPr="0054619A">
        <w:rPr>
          <w:rFonts w:asciiTheme="minorHAnsi" w:hAnsiTheme="minorHAnsi" w:cstheme="minorHAnsi"/>
          <w:color w:val="000000" w:themeColor="text1"/>
          <w:sz w:val="22"/>
          <w:szCs w:val="22"/>
          <w:lang w:val="en-IE"/>
        </w:rPr>
        <w:t xml:space="preserve">be responsible for overseeing the </w:t>
      </w:r>
      <w:r w:rsidR="002431CC">
        <w:rPr>
          <w:rFonts w:asciiTheme="minorHAnsi" w:hAnsiTheme="minorHAnsi" w:cstheme="minorHAnsi"/>
          <w:color w:val="000000" w:themeColor="text1"/>
          <w:sz w:val="22"/>
          <w:szCs w:val="22"/>
          <w:lang w:val="en-IE"/>
        </w:rPr>
        <w:t>design</w:t>
      </w:r>
      <w:r w:rsidR="002431CC" w:rsidRPr="0054619A">
        <w:rPr>
          <w:rFonts w:asciiTheme="minorHAnsi" w:hAnsiTheme="minorHAnsi" w:cstheme="minorHAnsi"/>
          <w:color w:val="000000" w:themeColor="text1"/>
          <w:sz w:val="22"/>
          <w:szCs w:val="22"/>
          <w:lang w:val="en-IE"/>
        </w:rPr>
        <w:t xml:space="preserve">, enhancement, and ongoing </w:t>
      </w:r>
      <w:r w:rsidR="002431CC">
        <w:rPr>
          <w:rFonts w:asciiTheme="minorHAnsi" w:hAnsiTheme="minorHAnsi" w:cstheme="minorHAnsi"/>
          <w:color w:val="000000" w:themeColor="text1"/>
          <w:sz w:val="22"/>
          <w:szCs w:val="22"/>
          <w:lang w:val="en-IE"/>
        </w:rPr>
        <w:t>improvement</w:t>
      </w:r>
      <w:r w:rsidR="002431CC" w:rsidRPr="0054619A">
        <w:rPr>
          <w:rFonts w:asciiTheme="minorHAnsi" w:hAnsiTheme="minorHAnsi" w:cstheme="minorHAnsi"/>
          <w:color w:val="000000" w:themeColor="text1"/>
          <w:sz w:val="22"/>
          <w:szCs w:val="22"/>
          <w:lang w:val="en-IE"/>
        </w:rPr>
        <w:t xml:space="preserve"> of </w:t>
      </w:r>
      <w:r w:rsidR="002431CC">
        <w:rPr>
          <w:rFonts w:asciiTheme="minorHAnsi" w:hAnsiTheme="minorHAnsi" w:cstheme="minorHAnsi"/>
          <w:color w:val="000000" w:themeColor="text1"/>
          <w:sz w:val="22"/>
          <w:szCs w:val="22"/>
          <w:lang w:val="en-IE"/>
        </w:rPr>
        <w:t>one or more</w:t>
      </w:r>
      <w:r w:rsidR="002431CC" w:rsidRPr="0054619A">
        <w:rPr>
          <w:rFonts w:asciiTheme="minorHAnsi" w:hAnsiTheme="minorHAnsi" w:cstheme="minorHAnsi"/>
          <w:color w:val="000000" w:themeColor="text1"/>
          <w:sz w:val="22"/>
          <w:szCs w:val="22"/>
          <w:lang w:val="en-IE"/>
        </w:rPr>
        <w:t xml:space="preserve"> mobile apps</w:t>
      </w:r>
      <w:r w:rsidR="002431CC">
        <w:rPr>
          <w:rFonts w:asciiTheme="minorHAnsi" w:hAnsiTheme="minorHAnsi" w:cstheme="minorHAnsi"/>
          <w:color w:val="000000" w:themeColor="text1"/>
          <w:sz w:val="22"/>
          <w:szCs w:val="22"/>
          <w:lang w:val="en-IE"/>
        </w:rPr>
        <w:t>, systems, and/or websites</w:t>
      </w:r>
      <w:r w:rsidR="002431CC" w:rsidRPr="0054619A">
        <w:rPr>
          <w:rFonts w:asciiTheme="minorHAnsi" w:hAnsiTheme="minorHAnsi" w:cstheme="minorHAnsi"/>
          <w:color w:val="000000" w:themeColor="text1"/>
          <w:sz w:val="22"/>
          <w:szCs w:val="22"/>
          <w:lang w:val="en-IE"/>
        </w:rPr>
        <w:t xml:space="preserve"> developed by external </w:t>
      </w:r>
      <w:r w:rsidR="002431CC">
        <w:rPr>
          <w:rFonts w:asciiTheme="minorHAnsi" w:hAnsiTheme="minorHAnsi" w:cstheme="minorHAnsi"/>
          <w:color w:val="000000" w:themeColor="text1"/>
          <w:sz w:val="22"/>
          <w:szCs w:val="22"/>
          <w:lang w:val="en-IE"/>
        </w:rPr>
        <w:t>suppliers for NTA.</w:t>
      </w:r>
    </w:p>
    <w:p w14:paraId="143B0AE9" w14:textId="77777777" w:rsidR="002431CC" w:rsidRDefault="002431CC" w:rsidP="002431CC">
      <w:pPr>
        <w:spacing w:line="360" w:lineRule="auto"/>
        <w:ind w:right="-32"/>
        <w:jc w:val="both"/>
        <w:rPr>
          <w:rFonts w:ascii="Calibri" w:hAnsi="Calibri" w:cs="Arial"/>
          <w:sz w:val="22"/>
          <w:szCs w:val="22"/>
          <w:lang w:val="en-IE" w:eastAsia="en-IE"/>
        </w:rPr>
      </w:pPr>
    </w:p>
    <w:p w14:paraId="50F350F1" w14:textId="382EE13A" w:rsidR="002431CC" w:rsidRPr="002431CC" w:rsidRDefault="002431CC" w:rsidP="002431CC">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127455">
        <w:rPr>
          <w:rFonts w:asciiTheme="minorHAnsi" w:hAnsiTheme="minorHAnsi" w:cstheme="minorHAnsi"/>
          <w:color w:val="000000" w:themeColor="text1"/>
          <w:sz w:val="22"/>
          <w:szCs w:val="22"/>
          <w:lang w:val="en-IE"/>
        </w:rPr>
        <w:t xml:space="preserve">The </w:t>
      </w:r>
      <w:r>
        <w:rPr>
          <w:rFonts w:asciiTheme="minorHAnsi" w:hAnsiTheme="minorHAnsi" w:cstheme="minorHAnsi"/>
          <w:color w:val="000000" w:themeColor="text1"/>
          <w:sz w:val="22"/>
          <w:szCs w:val="22"/>
          <w:lang w:val="en-IE"/>
        </w:rPr>
        <w:t>Product</w:t>
      </w:r>
      <w:r w:rsidRPr="00127455">
        <w:rPr>
          <w:rFonts w:asciiTheme="minorHAnsi" w:hAnsiTheme="minorHAnsi" w:cstheme="minorHAnsi"/>
          <w:color w:val="000000" w:themeColor="text1"/>
          <w:sz w:val="22"/>
          <w:szCs w:val="22"/>
          <w:lang w:val="en-IE"/>
        </w:rPr>
        <w:t xml:space="preserve"> </w:t>
      </w:r>
      <w:r>
        <w:rPr>
          <w:rFonts w:asciiTheme="minorHAnsi" w:hAnsiTheme="minorHAnsi" w:cstheme="minorHAnsi"/>
          <w:color w:val="000000" w:themeColor="text1"/>
          <w:sz w:val="22"/>
          <w:szCs w:val="22"/>
          <w:lang w:val="en-IE"/>
        </w:rPr>
        <w:t>O</w:t>
      </w:r>
      <w:r w:rsidRPr="00127455">
        <w:rPr>
          <w:rFonts w:asciiTheme="minorHAnsi" w:hAnsiTheme="minorHAnsi" w:cstheme="minorHAnsi"/>
          <w:color w:val="000000" w:themeColor="text1"/>
          <w:sz w:val="22"/>
          <w:szCs w:val="22"/>
          <w:lang w:val="en-IE"/>
        </w:rPr>
        <w:t xml:space="preserve">wner will be responsible for </w:t>
      </w:r>
      <w:r>
        <w:rPr>
          <w:rFonts w:asciiTheme="minorHAnsi" w:hAnsiTheme="minorHAnsi" w:cstheme="minorHAnsi"/>
          <w:color w:val="000000" w:themeColor="text1"/>
          <w:sz w:val="22"/>
          <w:szCs w:val="22"/>
          <w:lang w:val="en-IE"/>
        </w:rPr>
        <w:t>creating</w:t>
      </w:r>
      <w:r w:rsidRPr="00127455">
        <w:rPr>
          <w:rFonts w:asciiTheme="minorHAnsi" w:hAnsiTheme="minorHAnsi" w:cstheme="minorHAnsi"/>
          <w:color w:val="000000" w:themeColor="text1"/>
          <w:sz w:val="22"/>
          <w:szCs w:val="22"/>
          <w:lang w:val="en-IE"/>
        </w:rPr>
        <w:t xml:space="preserve"> and maintaining the backlog of features and shall prioriti</w:t>
      </w:r>
      <w:r>
        <w:rPr>
          <w:rFonts w:asciiTheme="minorHAnsi" w:hAnsiTheme="minorHAnsi" w:cstheme="minorHAnsi"/>
          <w:color w:val="000000" w:themeColor="text1"/>
          <w:sz w:val="22"/>
          <w:szCs w:val="22"/>
          <w:lang w:val="en-IE"/>
        </w:rPr>
        <w:t>s</w:t>
      </w:r>
      <w:r w:rsidRPr="00127455">
        <w:rPr>
          <w:rFonts w:asciiTheme="minorHAnsi" w:hAnsiTheme="minorHAnsi" w:cstheme="minorHAnsi"/>
          <w:color w:val="000000" w:themeColor="text1"/>
          <w:sz w:val="22"/>
          <w:szCs w:val="22"/>
          <w:lang w:val="en-IE"/>
        </w:rPr>
        <w:t xml:space="preserve">e the features for delivery, taking into account NTA </w:t>
      </w:r>
      <w:r>
        <w:rPr>
          <w:rFonts w:asciiTheme="minorHAnsi" w:hAnsiTheme="minorHAnsi" w:cstheme="minorHAnsi"/>
          <w:color w:val="000000" w:themeColor="text1"/>
          <w:sz w:val="22"/>
          <w:szCs w:val="22"/>
          <w:lang w:val="en-IE"/>
        </w:rPr>
        <w:t xml:space="preserve">design </w:t>
      </w:r>
      <w:r w:rsidRPr="00127455">
        <w:rPr>
          <w:rFonts w:asciiTheme="minorHAnsi" w:hAnsiTheme="minorHAnsi" w:cstheme="minorHAnsi"/>
          <w:color w:val="000000" w:themeColor="text1"/>
          <w:sz w:val="22"/>
          <w:szCs w:val="22"/>
          <w:lang w:val="en-IE"/>
        </w:rPr>
        <w:t xml:space="preserve">objectives. </w:t>
      </w:r>
      <w:r w:rsidRPr="0054619A">
        <w:rPr>
          <w:rFonts w:asciiTheme="minorHAnsi" w:hAnsiTheme="minorHAnsi" w:cstheme="minorHAnsi"/>
          <w:color w:val="000000" w:themeColor="text1"/>
          <w:sz w:val="22"/>
          <w:szCs w:val="22"/>
          <w:lang w:val="en-IE"/>
        </w:rPr>
        <w:t xml:space="preserve">The </w:t>
      </w:r>
      <w:r w:rsidRPr="00616D75">
        <w:rPr>
          <w:rFonts w:ascii="Calibri" w:hAnsi="Calibri" w:cs="Arial"/>
          <w:sz w:val="22"/>
          <w:szCs w:val="22"/>
          <w:lang w:val="en-IE" w:eastAsia="en-IE"/>
        </w:rPr>
        <w:t>successful candidate</w:t>
      </w:r>
      <w:r w:rsidRPr="0054619A">
        <w:rPr>
          <w:rFonts w:asciiTheme="minorHAnsi" w:hAnsiTheme="minorHAnsi" w:cstheme="minorHAnsi"/>
          <w:color w:val="000000" w:themeColor="text1"/>
          <w:sz w:val="22"/>
          <w:szCs w:val="22"/>
          <w:lang w:val="en-IE"/>
        </w:rPr>
        <w:t xml:space="preserve"> will work closely with internal </w:t>
      </w:r>
      <w:r>
        <w:rPr>
          <w:rFonts w:asciiTheme="minorHAnsi" w:hAnsiTheme="minorHAnsi" w:cstheme="minorHAnsi"/>
          <w:color w:val="000000" w:themeColor="text1"/>
          <w:sz w:val="22"/>
          <w:szCs w:val="22"/>
          <w:lang w:val="en-IE"/>
        </w:rPr>
        <w:t>stakeholders</w:t>
      </w:r>
      <w:r w:rsidRPr="0054619A">
        <w:rPr>
          <w:rFonts w:asciiTheme="minorHAnsi" w:hAnsiTheme="minorHAnsi" w:cstheme="minorHAnsi"/>
          <w:color w:val="000000" w:themeColor="text1"/>
          <w:sz w:val="22"/>
          <w:szCs w:val="22"/>
          <w:lang w:val="en-IE"/>
        </w:rPr>
        <w:t xml:space="preserve"> </w:t>
      </w:r>
      <w:r>
        <w:rPr>
          <w:rFonts w:asciiTheme="minorHAnsi" w:hAnsiTheme="minorHAnsi" w:cstheme="minorHAnsi"/>
          <w:color w:val="000000" w:themeColor="text1"/>
          <w:sz w:val="22"/>
          <w:szCs w:val="22"/>
          <w:lang w:val="en-IE"/>
        </w:rPr>
        <w:t>in</w:t>
      </w:r>
      <w:r w:rsidRPr="0054619A">
        <w:rPr>
          <w:rFonts w:asciiTheme="minorHAnsi" w:hAnsiTheme="minorHAnsi" w:cstheme="minorHAnsi"/>
          <w:color w:val="000000" w:themeColor="text1"/>
          <w:sz w:val="22"/>
          <w:szCs w:val="22"/>
          <w:lang w:val="en-IE"/>
        </w:rPr>
        <w:t xml:space="preserve"> driv</w:t>
      </w:r>
      <w:r>
        <w:rPr>
          <w:rFonts w:asciiTheme="minorHAnsi" w:hAnsiTheme="minorHAnsi" w:cstheme="minorHAnsi"/>
          <w:color w:val="000000" w:themeColor="text1"/>
          <w:sz w:val="22"/>
          <w:szCs w:val="22"/>
          <w:lang w:val="en-IE"/>
        </w:rPr>
        <w:t>ing</w:t>
      </w:r>
      <w:r w:rsidRPr="0054619A">
        <w:rPr>
          <w:rFonts w:asciiTheme="minorHAnsi" w:hAnsiTheme="minorHAnsi" w:cstheme="minorHAnsi"/>
          <w:color w:val="000000" w:themeColor="text1"/>
          <w:sz w:val="22"/>
          <w:szCs w:val="22"/>
          <w:lang w:val="en-IE"/>
        </w:rPr>
        <w:t xml:space="preserve"> the mobile app</w:t>
      </w:r>
      <w:r>
        <w:rPr>
          <w:rFonts w:asciiTheme="minorHAnsi" w:hAnsiTheme="minorHAnsi" w:cstheme="minorHAnsi"/>
          <w:color w:val="000000" w:themeColor="text1"/>
          <w:sz w:val="22"/>
          <w:szCs w:val="22"/>
          <w:lang w:val="en-IE"/>
        </w:rPr>
        <w:t xml:space="preserve"> or systems</w:t>
      </w:r>
      <w:r w:rsidRPr="0054619A">
        <w:rPr>
          <w:rFonts w:asciiTheme="minorHAnsi" w:hAnsiTheme="minorHAnsi" w:cstheme="minorHAnsi"/>
          <w:color w:val="000000" w:themeColor="text1"/>
          <w:sz w:val="22"/>
          <w:szCs w:val="22"/>
          <w:lang w:val="en-IE"/>
        </w:rPr>
        <w:t xml:space="preserve"> </w:t>
      </w:r>
      <w:r>
        <w:rPr>
          <w:rFonts w:asciiTheme="minorHAnsi" w:hAnsiTheme="minorHAnsi" w:cstheme="minorHAnsi"/>
          <w:color w:val="000000" w:themeColor="text1"/>
          <w:sz w:val="22"/>
          <w:szCs w:val="22"/>
          <w:lang w:val="en-IE"/>
        </w:rPr>
        <w:t>design, including Irish language support and accessibility compliance in collaboration with NTA’s accessibility team.</w:t>
      </w:r>
    </w:p>
    <w:p w14:paraId="2321E80F" w14:textId="77777777" w:rsidR="002431CC" w:rsidRDefault="002431CC" w:rsidP="00E6233C">
      <w:pPr>
        <w:spacing w:line="360" w:lineRule="auto"/>
        <w:ind w:right="-32"/>
        <w:jc w:val="both"/>
        <w:rPr>
          <w:rFonts w:ascii="Calibri" w:hAnsi="Calibri" w:cs="Arial"/>
          <w:b/>
          <w:color w:val="000000" w:themeColor="text1"/>
          <w:sz w:val="24"/>
          <w:szCs w:val="26"/>
          <w:lang w:val="en-IE"/>
        </w:rPr>
      </w:pPr>
    </w:p>
    <w:p w14:paraId="74184E42" w14:textId="637F286B" w:rsidR="002431CC" w:rsidRPr="002431CC" w:rsidRDefault="004D5DF5" w:rsidP="002431CC">
      <w:pPr>
        <w:spacing w:line="360" w:lineRule="auto"/>
        <w:ind w:right="-32"/>
        <w:jc w:val="both"/>
        <w:rPr>
          <w:rFonts w:ascii="Calibri" w:hAnsi="Calibri" w:cs="Arial"/>
          <w:b/>
          <w:color w:val="000000" w:themeColor="text1"/>
          <w:sz w:val="24"/>
          <w:szCs w:val="26"/>
          <w:lang w:val="en-IE"/>
        </w:rPr>
      </w:pPr>
      <w:r w:rsidRPr="002431CC">
        <w:rPr>
          <w:rFonts w:ascii="Calibri" w:hAnsi="Calibri" w:cs="Arial"/>
          <w:b/>
          <w:color w:val="000000" w:themeColor="text1"/>
          <w:sz w:val="24"/>
          <w:szCs w:val="26"/>
          <w:lang w:val="en-IE"/>
        </w:rPr>
        <w:t>D</w:t>
      </w:r>
      <w:r w:rsidR="000F2327" w:rsidRPr="002431CC">
        <w:rPr>
          <w:rFonts w:ascii="Calibri" w:hAnsi="Calibri" w:cs="Arial"/>
          <w:b/>
          <w:color w:val="000000" w:themeColor="text1"/>
          <w:sz w:val="24"/>
          <w:szCs w:val="26"/>
          <w:lang w:val="en-IE"/>
        </w:rPr>
        <w:t>uties</w:t>
      </w:r>
      <w:r w:rsidRPr="002431CC">
        <w:rPr>
          <w:rFonts w:ascii="Calibri" w:hAnsi="Calibri" w:cs="Arial"/>
          <w:b/>
          <w:color w:val="000000" w:themeColor="text1"/>
          <w:sz w:val="24"/>
          <w:szCs w:val="26"/>
          <w:lang w:val="en-IE"/>
        </w:rPr>
        <w:t xml:space="preserve"> </w:t>
      </w:r>
      <w:r w:rsidR="000F2327" w:rsidRPr="002431CC">
        <w:rPr>
          <w:rFonts w:ascii="Calibri" w:hAnsi="Calibri" w:cs="Arial"/>
          <w:b/>
          <w:color w:val="000000" w:themeColor="text1"/>
          <w:sz w:val="24"/>
          <w:szCs w:val="26"/>
          <w:lang w:val="en-IE"/>
        </w:rPr>
        <w:t>and</w:t>
      </w:r>
      <w:r w:rsidRPr="002431CC">
        <w:rPr>
          <w:rFonts w:ascii="Calibri" w:hAnsi="Calibri" w:cs="Arial"/>
          <w:b/>
          <w:color w:val="000000" w:themeColor="text1"/>
          <w:sz w:val="24"/>
          <w:szCs w:val="26"/>
          <w:lang w:val="en-IE"/>
        </w:rPr>
        <w:t xml:space="preserve"> </w:t>
      </w:r>
      <w:r w:rsidR="000F2327" w:rsidRPr="002431CC">
        <w:rPr>
          <w:rFonts w:ascii="Calibri" w:hAnsi="Calibri" w:cs="Arial"/>
          <w:b/>
          <w:color w:val="000000" w:themeColor="text1"/>
          <w:sz w:val="24"/>
          <w:szCs w:val="26"/>
          <w:lang w:val="en-IE"/>
        </w:rPr>
        <w:t>Responsibilities</w:t>
      </w:r>
    </w:p>
    <w:p w14:paraId="4126E822" w14:textId="5B70777F" w:rsidR="002431CC" w:rsidRDefault="00461407" w:rsidP="00846D08">
      <w:pPr>
        <w:spacing w:line="360" w:lineRule="auto"/>
        <w:jc w:val="both"/>
        <w:rPr>
          <w:rFonts w:asciiTheme="minorHAnsi" w:eastAsia="Calibri" w:hAnsiTheme="minorHAnsi" w:cstheme="minorHAnsi"/>
          <w:color w:val="000000"/>
          <w:sz w:val="22"/>
          <w:szCs w:val="22"/>
          <w:lang w:val="en-IE" w:eastAsia="en-US"/>
        </w:rPr>
      </w:pPr>
      <w:r>
        <w:rPr>
          <w:rFonts w:asciiTheme="minorHAnsi" w:eastAsia="Calibri" w:hAnsiTheme="minorHAnsi" w:cstheme="minorHAnsi"/>
          <w:color w:val="000000"/>
          <w:sz w:val="22"/>
          <w:szCs w:val="22"/>
          <w:lang w:val="en-IE" w:eastAsia="en-US"/>
        </w:rPr>
        <w:t>T</w:t>
      </w:r>
      <w:r w:rsidR="002431CC" w:rsidRPr="002431CC">
        <w:rPr>
          <w:rFonts w:asciiTheme="minorHAnsi" w:eastAsia="Calibri" w:hAnsiTheme="minorHAnsi" w:cstheme="minorHAnsi"/>
          <w:color w:val="000000"/>
          <w:sz w:val="22"/>
          <w:szCs w:val="22"/>
          <w:lang w:val="en-IE" w:eastAsia="en-US"/>
        </w:rPr>
        <w:t>he principal duties and responsibilities of the Product Owner will include the following:</w:t>
      </w:r>
    </w:p>
    <w:p w14:paraId="225F211E" w14:textId="77777777" w:rsidR="00846D08" w:rsidRPr="002431CC" w:rsidRDefault="00846D08" w:rsidP="00846D08">
      <w:pPr>
        <w:spacing w:line="360" w:lineRule="auto"/>
        <w:jc w:val="both"/>
        <w:rPr>
          <w:rFonts w:asciiTheme="minorHAnsi" w:eastAsia="Calibri" w:hAnsiTheme="minorHAnsi" w:cstheme="minorHAnsi"/>
          <w:color w:val="000000"/>
          <w:sz w:val="22"/>
          <w:szCs w:val="22"/>
          <w:lang w:val="en-IE" w:eastAsia="en-US"/>
        </w:rPr>
      </w:pPr>
    </w:p>
    <w:p w14:paraId="0AB530C1" w14:textId="5B8724A3" w:rsidR="002431CC" w:rsidRPr="002431CC" w:rsidRDefault="002431CC" w:rsidP="00846D08">
      <w:pPr>
        <w:pStyle w:val="ListParagraph"/>
        <w:numPr>
          <w:ilvl w:val="0"/>
          <w:numId w:val="46"/>
        </w:numPr>
        <w:spacing w:after="120" w:line="360" w:lineRule="auto"/>
        <w:jc w:val="both"/>
        <w:rPr>
          <w:rFonts w:asciiTheme="minorHAnsi" w:hAnsiTheme="minorHAnsi" w:cstheme="minorHAnsi"/>
          <w:sz w:val="22"/>
          <w:szCs w:val="22"/>
          <w:lang w:val="en-IE"/>
        </w:rPr>
      </w:pPr>
      <w:r w:rsidRPr="002431CC">
        <w:rPr>
          <w:rFonts w:asciiTheme="minorHAnsi" w:hAnsiTheme="minorHAnsi" w:cstheme="minorHAnsi"/>
          <w:sz w:val="22"/>
          <w:szCs w:val="22"/>
          <w:lang w:val="en-IE"/>
        </w:rPr>
        <w:t>Create and maintain the product roadmap(s) and prioritise the backlog of features;</w:t>
      </w:r>
    </w:p>
    <w:p w14:paraId="2224B5D3" w14:textId="151014FD" w:rsidR="002431CC" w:rsidRPr="002431CC" w:rsidRDefault="002431CC" w:rsidP="00846D08">
      <w:pPr>
        <w:pStyle w:val="ListParagraph"/>
        <w:numPr>
          <w:ilvl w:val="0"/>
          <w:numId w:val="46"/>
        </w:numPr>
        <w:spacing w:after="120" w:line="360" w:lineRule="auto"/>
        <w:jc w:val="both"/>
        <w:rPr>
          <w:rFonts w:asciiTheme="minorHAnsi" w:hAnsiTheme="minorHAnsi" w:cstheme="minorHAnsi"/>
          <w:sz w:val="22"/>
          <w:szCs w:val="22"/>
          <w:lang w:val="en-IE"/>
        </w:rPr>
      </w:pPr>
      <w:r w:rsidRPr="002431CC">
        <w:rPr>
          <w:rFonts w:asciiTheme="minorHAnsi" w:hAnsiTheme="minorHAnsi" w:cstheme="minorHAnsi"/>
          <w:sz w:val="22"/>
          <w:szCs w:val="22"/>
          <w:lang w:val="en-IE"/>
        </w:rPr>
        <w:t>Write and review user stories for new features and enhancements;</w:t>
      </w:r>
    </w:p>
    <w:p w14:paraId="04CD0801" w14:textId="01183DEF" w:rsidR="002431CC" w:rsidRPr="002431CC" w:rsidRDefault="002431CC" w:rsidP="00846D08">
      <w:pPr>
        <w:pStyle w:val="ListParagraph"/>
        <w:numPr>
          <w:ilvl w:val="0"/>
          <w:numId w:val="46"/>
        </w:numPr>
        <w:spacing w:before="120" w:after="120" w:line="360" w:lineRule="auto"/>
        <w:jc w:val="both"/>
        <w:rPr>
          <w:rFonts w:asciiTheme="minorHAnsi" w:hAnsiTheme="minorHAnsi" w:cstheme="minorHAnsi"/>
          <w:sz w:val="22"/>
          <w:szCs w:val="22"/>
          <w:lang w:val="en-IE"/>
        </w:rPr>
      </w:pPr>
      <w:r w:rsidRPr="002431CC">
        <w:rPr>
          <w:rFonts w:asciiTheme="minorHAnsi" w:hAnsiTheme="minorHAnsi" w:cstheme="minorHAnsi"/>
          <w:sz w:val="22"/>
          <w:szCs w:val="22"/>
          <w:lang w:val="en-IE"/>
        </w:rPr>
        <w:t>Ensure all new features and enhancements are comprehensive, unambiguous, aligned with NTA’s needs, and sufficient defined so that they can be implemented by external suppliers;</w:t>
      </w:r>
    </w:p>
    <w:p w14:paraId="741C1953" w14:textId="454705FF" w:rsidR="002431CC" w:rsidRPr="002431CC" w:rsidRDefault="002431CC" w:rsidP="00846D0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sz w:val="22"/>
          <w:szCs w:val="22"/>
          <w:lang w:val="en-IE"/>
        </w:rPr>
        <w:lastRenderedPageBreak/>
        <w:t>Work with external supplier’s app development teams to improve usability and accessibility of mobile applications and/or websites</w:t>
      </w:r>
      <w:r w:rsidR="00B03E59">
        <w:rPr>
          <w:rFonts w:asciiTheme="minorHAnsi" w:hAnsiTheme="minorHAnsi" w:cstheme="minorHAnsi"/>
          <w:sz w:val="22"/>
          <w:szCs w:val="22"/>
          <w:lang w:val="en-IE"/>
        </w:rPr>
        <w:t>;</w:t>
      </w:r>
    </w:p>
    <w:p w14:paraId="486E91F6" w14:textId="6944316D" w:rsidR="002431CC" w:rsidRPr="002431CC" w:rsidRDefault="002431CC" w:rsidP="00846D0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Review and approve supplier deliverables, including prototypes, wireframes, and app releases;</w:t>
      </w:r>
    </w:p>
    <w:p w14:paraId="0DB7C515" w14:textId="63AF0518" w:rsidR="002431CC" w:rsidRPr="002431CC" w:rsidRDefault="002431CC" w:rsidP="00846D0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Engage with internal stakeholders (C</w:t>
      </w:r>
      <w:r w:rsidR="00461407">
        <w:rPr>
          <w:rFonts w:asciiTheme="minorHAnsi" w:hAnsiTheme="minorHAnsi" w:cstheme="minorHAnsi"/>
          <w:color w:val="000000" w:themeColor="text1"/>
          <w:sz w:val="22"/>
          <w:szCs w:val="22"/>
          <w:lang w:val="en-IE"/>
        </w:rPr>
        <w:t>ustomer Experience (CX)</w:t>
      </w:r>
      <w:r w:rsidRPr="002431CC">
        <w:rPr>
          <w:rFonts w:asciiTheme="minorHAnsi" w:hAnsiTheme="minorHAnsi" w:cstheme="minorHAnsi"/>
          <w:color w:val="000000" w:themeColor="text1"/>
          <w:sz w:val="22"/>
          <w:szCs w:val="22"/>
          <w:lang w:val="en-IE"/>
        </w:rPr>
        <w:t>, I</w:t>
      </w:r>
      <w:r w:rsidR="00461407">
        <w:rPr>
          <w:rFonts w:asciiTheme="minorHAnsi" w:hAnsiTheme="minorHAnsi" w:cstheme="minorHAnsi"/>
          <w:color w:val="000000" w:themeColor="text1"/>
          <w:sz w:val="22"/>
          <w:szCs w:val="22"/>
          <w:lang w:val="en-IE"/>
        </w:rPr>
        <w:t xml:space="preserve">nformation and </w:t>
      </w:r>
      <w:r w:rsidRPr="002431CC">
        <w:rPr>
          <w:rFonts w:asciiTheme="minorHAnsi" w:hAnsiTheme="minorHAnsi" w:cstheme="minorHAnsi"/>
          <w:color w:val="000000" w:themeColor="text1"/>
          <w:sz w:val="22"/>
          <w:szCs w:val="22"/>
          <w:lang w:val="en-IE"/>
        </w:rPr>
        <w:t>C</w:t>
      </w:r>
      <w:r w:rsidR="00461407">
        <w:rPr>
          <w:rFonts w:asciiTheme="minorHAnsi" w:hAnsiTheme="minorHAnsi" w:cstheme="minorHAnsi"/>
          <w:color w:val="000000" w:themeColor="text1"/>
          <w:sz w:val="22"/>
          <w:szCs w:val="22"/>
          <w:lang w:val="en-IE"/>
        </w:rPr>
        <w:t xml:space="preserve">ommunication </w:t>
      </w:r>
      <w:r w:rsidRPr="002431CC">
        <w:rPr>
          <w:rFonts w:asciiTheme="minorHAnsi" w:hAnsiTheme="minorHAnsi" w:cstheme="minorHAnsi"/>
          <w:color w:val="000000" w:themeColor="text1"/>
          <w:sz w:val="22"/>
          <w:szCs w:val="22"/>
          <w:lang w:val="en-IE"/>
        </w:rPr>
        <w:t>T</w:t>
      </w:r>
      <w:r w:rsidR="00461407">
        <w:rPr>
          <w:rFonts w:asciiTheme="minorHAnsi" w:hAnsiTheme="minorHAnsi" w:cstheme="minorHAnsi"/>
          <w:color w:val="000000" w:themeColor="text1"/>
          <w:sz w:val="22"/>
          <w:szCs w:val="22"/>
          <w:lang w:val="en-IE"/>
        </w:rPr>
        <w:t>echnology (ICT)</w:t>
      </w:r>
      <w:r w:rsidRPr="002431CC">
        <w:rPr>
          <w:rFonts w:asciiTheme="minorHAnsi" w:hAnsiTheme="minorHAnsi" w:cstheme="minorHAnsi"/>
          <w:color w:val="000000" w:themeColor="text1"/>
          <w:sz w:val="22"/>
          <w:szCs w:val="22"/>
          <w:lang w:val="en-IE"/>
        </w:rPr>
        <w:t>, U</w:t>
      </w:r>
      <w:r w:rsidR="00461407">
        <w:rPr>
          <w:rFonts w:asciiTheme="minorHAnsi" w:hAnsiTheme="minorHAnsi" w:cstheme="minorHAnsi"/>
          <w:color w:val="000000" w:themeColor="text1"/>
          <w:sz w:val="22"/>
          <w:szCs w:val="22"/>
          <w:lang w:val="en-IE"/>
        </w:rPr>
        <w:t xml:space="preserve">ser </w:t>
      </w:r>
      <w:r w:rsidRPr="002431CC">
        <w:rPr>
          <w:rFonts w:asciiTheme="minorHAnsi" w:hAnsiTheme="minorHAnsi" w:cstheme="minorHAnsi"/>
          <w:color w:val="000000" w:themeColor="text1"/>
          <w:sz w:val="22"/>
          <w:szCs w:val="22"/>
          <w:lang w:val="en-IE"/>
        </w:rPr>
        <w:t>I</w:t>
      </w:r>
      <w:r w:rsidR="00461407">
        <w:rPr>
          <w:rFonts w:asciiTheme="minorHAnsi" w:hAnsiTheme="minorHAnsi" w:cstheme="minorHAnsi"/>
          <w:color w:val="000000" w:themeColor="text1"/>
          <w:sz w:val="22"/>
          <w:szCs w:val="22"/>
          <w:lang w:val="en-IE"/>
        </w:rPr>
        <w:t>nterface (UI)</w:t>
      </w:r>
      <w:r w:rsidRPr="002431CC">
        <w:rPr>
          <w:rFonts w:asciiTheme="minorHAnsi" w:hAnsiTheme="minorHAnsi" w:cstheme="minorHAnsi"/>
          <w:color w:val="000000" w:themeColor="text1"/>
          <w:sz w:val="22"/>
          <w:szCs w:val="22"/>
          <w:lang w:val="en-IE"/>
        </w:rPr>
        <w:t>/U</w:t>
      </w:r>
      <w:r w:rsidR="00461407">
        <w:rPr>
          <w:rFonts w:asciiTheme="minorHAnsi" w:hAnsiTheme="minorHAnsi" w:cstheme="minorHAnsi"/>
          <w:color w:val="000000" w:themeColor="text1"/>
          <w:sz w:val="22"/>
          <w:szCs w:val="22"/>
          <w:lang w:val="en-IE"/>
        </w:rPr>
        <w:t xml:space="preserve">ser </w:t>
      </w:r>
      <w:r w:rsidR="00B03E59">
        <w:rPr>
          <w:rFonts w:asciiTheme="minorHAnsi" w:hAnsiTheme="minorHAnsi" w:cstheme="minorHAnsi"/>
          <w:color w:val="000000" w:themeColor="text1"/>
          <w:sz w:val="22"/>
          <w:szCs w:val="22"/>
          <w:lang w:val="en-IE"/>
        </w:rPr>
        <w:t>Experience (</w:t>
      </w:r>
      <w:r w:rsidR="00461407">
        <w:rPr>
          <w:rFonts w:asciiTheme="minorHAnsi" w:hAnsiTheme="minorHAnsi" w:cstheme="minorHAnsi"/>
          <w:color w:val="000000" w:themeColor="text1"/>
          <w:sz w:val="22"/>
          <w:szCs w:val="22"/>
          <w:lang w:val="en-IE"/>
        </w:rPr>
        <w:t>UX)</w:t>
      </w:r>
      <w:r w:rsidRPr="002431CC">
        <w:rPr>
          <w:rFonts w:asciiTheme="minorHAnsi" w:hAnsiTheme="minorHAnsi" w:cstheme="minorHAnsi"/>
          <w:color w:val="000000" w:themeColor="text1"/>
          <w:sz w:val="22"/>
          <w:szCs w:val="22"/>
          <w:lang w:val="en-IE"/>
        </w:rPr>
        <w:t xml:space="preserve"> Lead, Operations, etc.) to gather requirements and to define new features and enhancements for subsequent implementation by external suppliers;</w:t>
      </w:r>
    </w:p>
    <w:p w14:paraId="37B4D49E" w14:textId="46CD5406" w:rsidR="002431CC" w:rsidRPr="002431CC" w:rsidRDefault="002431CC" w:rsidP="00846D0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Work with the Transport Technology Test Team to ensure all new features and enhancements are understood and sufficiently documented for testing purposes;</w:t>
      </w:r>
    </w:p>
    <w:p w14:paraId="4CAFB729" w14:textId="73BF4FC3" w:rsidR="002431CC" w:rsidRPr="002431CC" w:rsidRDefault="002431CC" w:rsidP="00846D0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Gather user feedback, perform market research, and analyse app usage data to inform product decisions and backlog prioritisation;</w:t>
      </w:r>
    </w:p>
    <w:p w14:paraId="3B61F824" w14:textId="1F0C332B" w:rsidR="002431CC" w:rsidRPr="002431CC" w:rsidRDefault="002431CC" w:rsidP="00846D0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Work with suppliers to identify opportunities for performance optimisation, bug fixes, and feature improvements;</w:t>
      </w:r>
    </w:p>
    <w:p w14:paraId="23ABF42A" w14:textId="48F1C66F" w:rsidR="002431CC" w:rsidRPr="002431CC" w:rsidRDefault="002431CC" w:rsidP="00846D0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Ensure that enhancements to the app/product meet expectations for usability, performance, and functionality;</w:t>
      </w:r>
    </w:p>
    <w:p w14:paraId="45AA43CB" w14:textId="279262D4" w:rsidR="002431CC" w:rsidRPr="002431CC" w:rsidRDefault="002431CC" w:rsidP="00846D08">
      <w:pPr>
        <w:pStyle w:val="BodyText"/>
        <w:widowControl w:val="0"/>
        <w:numPr>
          <w:ilvl w:val="0"/>
          <w:numId w:val="46"/>
        </w:numPr>
        <w:kinsoku w:val="0"/>
        <w:overflowPunct w:val="0"/>
        <w:autoSpaceDE w:val="0"/>
        <w:autoSpaceDN w:val="0"/>
        <w:adjustRightInd w:val="0"/>
        <w:spacing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Ensure that app/product documentation is appropriately documented and maintained; and</w:t>
      </w:r>
    </w:p>
    <w:p w14:paraId="2CDFC803" w14:textId="1F3E9F21" w:rsidR="005100A8" w:rsidRPr="002431CC" w:rsidRDefault="002431CC" w:rsidP="00846D08">
      <w:pPr>
        <w:pStyle w:val="BodyText"/>
        <w:widowControl w:val="0"/>
        <w:numPr>
          <w:ilvl w:val="0"/>
          <w:numId w:val="46"/>
        </w:numPr>
        <w:kinsoku w:val="0"/>
        <w:overflowPunct w:val="0"/>
        <w:autoSpaceDE w:val="0"/>
        <w:autoSpaceDN w:val="0"/>
        <w:adjustRightInd w:val="0"/>
        <w:spacing w:after="120" w:line="360" w:lineRule="auto"/>
        <w:ind w:right="-34"/>
        <w:jc w:val="both"/>
        <w:rPr>
          <w:rFonts w:asciiTheme="minorHAnsi" w:hAnsiTheme="minorHAnsi" w:cstheme="minorHAnsi"/>
          <w:color w:val="000000" w:themeColor="text1"/>
          <w:sz w:val="22"/>
          <w:szCs w:val="22"/>
          <w:lang w:val="en-IE"/>
        </w:rPr>
      </w:pPr>
      <w:r w:rsidRPr="002431CC">
        <w:rPr>
          <w:rFonts w:asciiTheme="minorHAnsi" w:hAnsiTheme="minorHAnsi" w:cstheme="minorHAnsi"/>
          <w:color w:val="000000" w:themeColor="text1"/>
          <w:sz w:val="22"/>
          <w:szCs w:val="22"/>
          <w:lang w:val="en-IE"/>
        </w:rPr>
        <w:t>Work closely with Transport Technology Operations, including attending meetings to give updates about the roadmap and backlog and working with the Supplier Relationship Lead to ensure the app/product operates and is maintained within agreed service levels.</w:t>
      </w:r>
    </w:p>
    <w:p w14:paraId="2008E366" w14:textId="77777777" w:rsidR="005100A8" w:rsidRPr="002431CC" w:rsidRDefault="005100A8" w:rsidP="002431CC">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4D6460D1" w:rsidR="00477066" w:rsidRPr="002431CC" w:rsidRDefault="007B1ACB" w:rsidP="002431CC">
      <w:pPr>
        <w:spacing w:line="360" w:lineRule="auto"/>
        <w:ind w:right="-32"/>
        <w:jc w:val="both"/>
        <w:rPr>
          <w:rFonts w:asciiTheme="minorHAnsi" w:hAnsiTheme="minorHAnsi" w:cstheme="minorHAnsi"/>
          <w:sz w:val="22"/>
          <w:szCs w:val="22"/>
        </w:rPr>
      </w:pPr>
      <w:r w:rsidRPr="002431CC">
        <w:rPr>
          <w:rFonts w:asciiTheme="minorHAnsi" w:eastAsia="Calibri" w:hAnsiTheme="minorHAnsi" w:cstheme="minorHAnsi"/>
          <w:b/>
          <w:sz w:val="22"/>
          <w:szCs w:val="22"/>
          <w:u w:val="single"/>
          <w:lang w:val="en-IE" w:eastAsia="en-US"/>
        </w:rPr>
        <w:t>Note</w:t>
      </w:r>
      <w:r w:rsidRPr="002431CC">
        <w:rPr>
          <w:rFonts w:asciiTheme="minorHAnsi" w:eastAsia="Calibri" w:hAnsiTheme="minorHAnsi" w:cstheme="minorHAnsi"/>
          <w:b/>
          <w:sz w:val="22"/>
          <w:szCs w:val="22"/>
          <w:lang w:val="en-IE" w:eastAsia="en-US"/>
        </w:rPr>
        <w:t>:</w:t>
      </w:r>
      <w:r w:rsidR="002A1397" w:rsidRPr="002431CC">
        <w:rPr>
          <w:rFonts w:asciiTheme="minorHAnsi" w:eastAsia="Calibri" w:hAnsiTheme="minorHAnsi" w:cstheme="minorHAnsi"/>
          <w:b/>
          <w:sz w:val="22"/>
          <w:szCs w:val="22"/>
          <w:lang w:val="en-IE" w:eastAsia="en-US"/>
        </w:rPr>
        <w:t xml:space="preserve"> </w:t>
      </w:r>
      <w:r w:rsidRPr="002431CC">
        <w:rPr>
          <w:rFonts w:asciiTheme="minorHAnsi" w:hAnsiTheme="minorHAnsi" w:cstheme="minorHAnsi"/>
          <w:sz w:val="22"/>
          <w:szCs w:val="22"/>
        </w:rPr>
        <w:t>The functions and responsibilities initially assigned to the position</w:t>
      </w:r>
      <w:r w:rsidR="002431CC">
        <w:rPr>
          <w:rFonts w:asciiTheme="minorHAnsi" w:hAnsiTheme="minorHAnsi" w:cstheme="minorHAnsi"/>
          <w:sz w:val="22"/>
          <w:szCs w:val="22"/>
        </w:rPr>
        <w:t xml:space="preserve"> is</w:t>
      </w:r>
      <w:r w:rsidRPr="002431CC">
        <w:rPr>
          <w:rFonts w:asciiTheme="minorHAnsi" w:hAnsiTheme="minorHAnsi" w:cstheme="minorHAnsi"/>
          <w:sz w:val="22"/>
          <w:szCs w:val="22"/>
        </w:rPr>
        <w:t xml:space="preserve"> based on the current organisational requirements and may be changed from time to time. The person</w:t>
      </w:r>
      <w:r w:rsidR="002431CC">
        <w:rPr>
          <w:rFonts w:asciiTheme="minorHAnsi" w:hAnsiTheme="minorHAnsi" w:cstheme="minorHAnsi"/>
          <w:sz w:val="22"/>
          <w:szCs w:val="22"/>
        </w:rPr>
        <w:t xml:space="preserve"> </w:t>
      </w:r>
      <w:r w:rsidRPr="002431CC">
        <w:rPr>
          <w:rFonts w:asciiTheme="minorHAnsi" w:hAnsiTheme="minorHAnsi" w:cstheme="minorHAnsi"/>
          <w:sz w:val="22"/>
          <w:szCs w:val="22"/>
        </w:rPr>
        <w:t>appointed require</w:t>
      </w:r>
      <w:r w:rsidR="002431CC">
        <w:rPr>
          <w:rFonts w:asciiTheme="minorHAnsi" w:hAnsiTheme="minorHAnsi" w:cstheme="minorHAnsi"/>
          <w:sz w:val="22"/>
          <w:szCs w:val="22"/>
        </w:rPr>
        <w:t>s</w:t>
      </w:r>
      <w:r w:rsidRPr="002431CC">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2431CC" w:rsidRDefault="004D5DF5" w:rsidP="002431CC">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431CC">
        <w:rPr>
          <w:rFonts w:asciiTheme="minorHAnsi" w:hAnsiTheme="minorHAnsi" w:cstheme="minorHAnsi"/>
          <w:b/>
          <w:bCs/>
          <w:kern w:val="32"/>
          <w:sz w:val="24"/>
          <w:szCs w:val="26"/>
        </w:rPr>
        <w:t>E</w:t>
      </w:r>
      <w:r w:rsidR="00A6561C" w:rsidRPr="002431CC">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44270A18" w14:textId="77777777" w:rsidR="002431CC" w:rsidRPr="00BC77B0" w:rsidRDefault="002431CC" w:rsidP="002431CC">
      <w:pPr>
        <w:pStyle w:val="ListParagraph"/>
        <w:numPr>
          <w:ilvl w:val="0"/>
          <w:numId w:val="47"/>
        </w:numPr>
        <w:spacing w:after="120" w:line="360" w:lineRule="auto"/>
        <w:jc w:val="both"/>
        <w:rPr>
          <w:rFonts w:asciiTheme="minorHAnsi" w:hAnsiTheme="minorHAnsi"/>
          <w:sz w:val="22"/>
          <w:szCs w:val="22"/>
        </w:rPr>
      </w:pPr>
      <w:r w:rsidRPr="00BC77B0">
        <w:rPr>
          <w:rFonts w:asciiTheme="minorHAnsi" w:hAnsiTheme="minorHAnsi"/>
          <w:sz w:val="22"/>
          <w:szCs w:val="22"/>
        </w:rPr>
        <w:t>Hold a minimum of an NFQ</w:t>
      </w:r>
      <w:r>
        <w:rPr>
          <w:rFonts w:asciiTheme="minorHAnsi" w:hAnsiTheme="minorHAnsi"/>
          <w:sz w:val="22"/>
          <w:szCs w:val="22"/>
        </w:rPr>
        <w:t xml:space="preserve"> </w:t>
      </w:r>
      <w:r w:rsidRPr="00C81B52">
        <w:rPr>
          <w:rFonts w:asciiTheme="minorHAnsi" w:hAnsiTheme="minorHAnsi"/>
          <w:sz w:val="22"/>
          <w:szCs w:val="22"/>
        </w:rPr>
        <w:t>level 7 qualification</w:t>
      </w:r>
      <w:r w:rsidRPr="00BC77B0">
        <w:rPr>
          <w:rFonts w:asciiTheme="minorHAnsi" w:hAnsiTheme="minorHAnsi"/>
          <w:sz w:val="22"/>
          <w:szCs w:val="22"/>
        </w:rPr>
        <w:t xml:space="preserve"> in computing, engineering, </w:t>
      </w:r>
      <w:r>
        <w:rPr>
          <w:rFonts w:asciiTheme="minorHAnsi" w:hAnsiTheme="minorHAnsi"/>
          <w:sz w:val="22"/>
          <w:szCs w:val="22"/>
        </w:rPr>
        <w:t xml:space="preserve">information technology </w:t>
      </w:r>
      <w:r w:rsidRPr="00BC77B0">
        <w:rPr>
          <w:rFonts w:asciiTheme="minorHAnsi" w:hAnsiTheme="minorHAnsi"/>
          <w:sz w:val="22"/>
          <w:szCs w:val="22"/>
        </w:rPr>
        <w:t xml:space="preserve">or </w:t>
      </w:r>
      <w:r>
        <w:rPr>
          <w:rFonts w:asciiTheme="minorHAnsi" w:hAnsiTheme="minorHAnsi"/>
          <w:sz w:val="22"/>
          <w:szCs w:val="22"/>
        </w:rPr>
        <w:t xml:space="preserve">a related </w:t>
      </w:r>
      <w:r w:rsidRPr="00BC77B0">
        <w:rPr>
          <w:rFonts w:asciiTheme="minorHAnsi" w:hAnsiTheme="minorHAnsi"/>
          <w:sz w:val="22"/>
          <w:szCs w:val="22"/>
        </w:rPr>
        <w:t>technical discipline</w:t>
      </w:r>
      <w:r>
        <w:rPr>
          <w:rFonts w:asciiTheme="minorHAnsi" w:hAnsiTheme="minorHAnsi"/>
          <w:sz w:val="22"/>
          <w:szCs w:val="22"/>
        </w:rPr>
        <w:t>;</w:t>
      </w:r>
    </w:p>
    <w:p w14:paraId="28BB18D5" w14:textId="77777777" w:rsidR="002431CC" w:rsidRPr="00A03DE0" w:rsidRDefault="002431CC" w:rsidP="002431CC">
      <w:pPr>
        <w:pStyle w:val="ListParagraph"/>
        <w:numPr>
          <w:ilvl w:val="0"/>
          <w:numId w:val="47"/>
        </w:numPr>
        <w:spacing w:after="120" w:line="360" w:lineRule="auto"/>
        <w:jc w:val="both"/>
        <w:rPr>
          <w:rFonts w:asciiTheme="minorHAnsi" w:hAnsiTheme="minorHAnsi"/>
          <w:sz w:val="22"/>
          <w:szCs w:val="22"/>
        </w:rPr>
      </w:pPr>
      <w:r w:rsidRPr="00BC77B0">
        <w:rPr>
          <w:rFonts w:asciiTheme="minorHAnsi" w:hAnsiTheme="minorHAnsi"/>
          <w:sz w:val="22"/>
          <w:szCs w:val="22"/>
        </w:rPr>
        <w:t xml:space="preserve">Have a minimum of </w:t>
      </w:r>
      <w:r>
        <w:rPr>
          <w:rFonts w:asciiTheme="minorHAnsi" w:hAnsiTheme="minorHAnsi"/>
          <w:sz w:val="22"/>
          <w:szCs w:val="22"/>
        </w:rPr>
        <w:t>5</w:t>
      </w:r>
      <w:r w:rsidRPr="00BC77B0">
        <w:rPr>
          <w:rFonts w:asciiTheme="minorHAnsi" w:hAnsiTheme="minorHAnsi"/>
          <w:sz w:val="22"/>
          <w:szCs w:val="22"/>
        </w:rPr>
        <w:t xml:space="preserve"> years</w:t>
      </w:r>
      <w:r>
        <w:rPr>
          <w:rFonts w:asciiTheme="minorHAnsi" w:hAnsiTheme="minorHAnsi"/>
          <w:sz w:val="22"/>
          <w:szCs w:val="22"/>
        </w:rPr>
        <w:t>’</w:t>
      </w:r>
      <w:r w:rsidRPr="00BC77B0">
        <w:rPr>
          <w:rFonts w:asciiTheme="minorHAnsi" w:hAnsiTheme="minorHAnsi"/>
          <w:sz w:val="22"/>
          <w:szCs w:val="22"/>
        </w:rPr>
        <w:t xml:space="preserve"> recent satisfactory experience working in a </w:t>
      </w:r>
      <w:r>
        <w:rPr>
          <w:rFonts w:asciiTheme="minorHAnsi" w:hAnsiTheme="minorHAnsi"/>
          <w:sz w:val="22"/>
          <w:szCs w:val="22"/>
        </w:rPr>
        <w:t>product owner</w:t>
      </w:r>
      <w:r w:rsidRPr="00BC77B0">
        <w:rPr>
          <w:rFonts w:asciiTheme="minorHAnsi" w:hAnsiTheme="minorHAnsi"/>
          <w:sz w:val="22"/>
          <w:szCs w:val="22"/>
        </w:rPr>
        <w:t xml:space="preserve"> role or similar </w:t>
      </w:r>
      <w:r>
        <w:rPr>
          <w:rFonts w:asciiTheme="minorHAnsi" w:hAnsiTheme="minorHAnsi"/>
          <w:sz w:val="22"/>
          <w:szCs w:val="22"/>
        </w:rPr>
        <w:t>related role;</w:t>
      </w:r>
    </w:p>
    <w:p w14:paraId="2CB45C40" w14:textId="77777777" w:rsidR="002431CC" w:rsidRDefault="002431CC" w:rsidP="002431CC">
      <w:pPr>
        <w:pStyle w:val="ListParagraph"/>
        <w:numPr>
          <w:ilvl w:val="0"/>
          <w:numId w:val="47"/>
        </w:numPr>
        <w:spacing w:after="120" w:line="360" w:lineRule="auto"/>
        <w:jc w:val="both"/>
        <w:rPr>
          <w:rFonts w:asciiTheme="minorHAnsi" w:hAnsiTheme="minorHAnsi"/>
          <w:sz w:val="22"/>
          <w:szCs w:val="22"/>
        </w:rPr>
      </w:pPr>
      <w:r w:rsidRPr="006C09BA">
        <w:rPr>
          <w:rFonts w:asciiTheme="minorHAnsi" w:hAnsiTheme="minorHAnsi"/>
          <w:sz w:val="22"/>
          <w:szCs w:val="22"/>
        </w:rPr>
        <w:t xml:space="preserve">Have </w:t>
      </w:r>
      <w:r>
        <w:rPr>
          <w:rFonts w:asciiTheme="minorHAnsi" w:hAnsiTheme="minorHAnsi"/>
          <w:sz w:val="22"/>
          <w:szCs w:val="22"/>
        </w:rPr>
        <w:t xml:space="preserve">substantive </w:t>
      </w:r>
      <w:r w:rsidRPr="006C09BA">
        <w:rPr>
          <w:rFonts w:asciiTheme="minorHAnsi" w:hAnsiTheme="minorHAnsi"/>
          <w:sz w:val="22"/>
          <w:szCs w:val="22"/>
        </w:rPr>
        <w:t>experience in defining user stories</w:t>
      </w:r>
      <w:r>
        <w:rPr>
          <w:rFonts w:asciiTheme="minorHAnsi" w:hAnsiTheme="minorHAnsi"/>
          <w:sz w:val="22"/>
          <w:szCs w:val="22"/>
        </w:rPr>
        <w:t xml:space="preserve"> and</w:t>
      </w:r>
      <w:r w:rsidRPr="006C09BA">
        <w:rPr>
          <w:rFonts w:asciiTheme="minorHAnsi" w:hAnsiTheme="minorHAnsi"/>
          <w:sz w:val="22"/>
          <w:szCs w:val="22"/>
        </w:rPr>
        <w:t xml:space="preserve"> wireframes for </w:t>
      </w:r>
      <w:r>
        <w:rPr>
          <w:rFonts w:asciiTheme="minorHAnsi" w:hAnsiTheme="minorHAnsi"/>
          <w:sz w:val="22"/>
          <w:szCs w:val="22"/>
        </w:rPr>
        <w:t>implementation by app developers</w:t>
      </w:r>
      <w:r w:rsidRPr="006C09BA">
        <w:rPr>
          <w:rFonts w:asciiTheme="minorHAnsi" w:hAnsiTheme="minorHAnsi"/>
          <w:sz w:val="22"/>
          <w:szCs w:val="22"/>
        </w:rPr>
        <w:t>;</w:t>
      </w:r>
    </w:p>
    <w:p w14:paraId="1E43D7EC" w14:textId="77777777" w:rsidR="002431CC" w:rsidRPr="00BC77B0" w:rsidRDefault="002431CC" w:rsidP="002431CC">
      <w:pPr>
        <w:pStyle w:val="ListParagraph"/>
        <w:numPr>
          <w:ilvl w:val="0"/>
          <w:numId w:val="47"/>
        </w:numPr>
        <w:spacing w:after="120" w:line="360" w:lineRule="auto"/>
        <w:jc w:val="both"/>
        <w:rPr>
          <w:rFonts w:asciiTheme="minorHAnsi" w:hAnsiTheme="minorHAnsi"/>
          <w:sz w:val="22"/>
          <w:szCs w:val="22"/>
        </w:rPr>
      </w:pPr>
      <w:r>
        <w:rPr>
          <w:rFonts w:asciiTheme="minorHAnsi" w:hAnsiTheme="minorHAnsi"/>
          <w:sz w:val="22"/>
          <w:szCs w:val="22"/>
        </w:rPr>
        <w:lastRenderedPageBreak/>
        <w:t>Have substantive e</w:t>
      </w:r>
      <w:r w:rsidRPr="00BC77B0">
        <w:rPr>
          <w:rFonts w:asciiTheme="minorHAnsi" w:hAnsiTheme="minorHAnsi"/>
          <w:sz w:val="22"/>
          <w:szCs w:val="22"/>
        </w:rPr>
        <w:t>xperienc</w:t>
      </w:r>
      <w:r>
        <w:rPr>
          <w:rFonts w:asciiTheme="minorHAnsi" w:hAnsiTheme="minorHAnsi"/>
          <w:sz w:val="22"/>
          <w:szCs w:val="22"/>
        </w:rPr>
        <w:t>e</w:t>
      </w:r>
      <w:r w:rsidRPr="00BC77B0">
        <w:rPr>
          <w:rFonts w:asciiTheme="minorHAnsi" w:hAnsiTheme="minorHAnsi"/>
          <w:sz w:val="22"/>
          <w:szCs w:val="22"/>
        </w:rPr>
        <w:t xml:space="preserve"> in developing clear, concise, and comprehensive </w:t>
      </w:r>
      <w:r>
        <w:rPr>
          <w:rFonts w:asciiTheme="minorHAnsi" w:hAnsiTheme="minorHAnsi"/>
          <w:sz w:val="22"/>
          <w:szCs w:val="22"/>
        </w:rPr>
        <w:t>requirements</w:t>
      </w:r>
      <w:r w:rsidRPr="00BC77B0">
        <w:rPr>
          <w:rFonts w:asciiTheme="minorHAnsi" w:hAnsiTheme="minorHAnsi"/>
          <w:sz w:val="22"/>
          <w:szCs w:val="22"/>
        </w:rPr>
        <w:t xml:space="preserve"> for new </w:t>
      </w:r>
      <w:r>
        <w:rPr>
          <w:rFonts w:asciiTheme="minorHAnsi" w:hAnsiTheme="minorHAnsi"/>
          <w:sz w:val="22"/>
          <w:szCs w:val="22"/>
        </w:rPr>
        <w:t>features and enhancements; and</w:t>
      </w:r>
    </w:p>
    <w:p w14:paraId="2BBF35F4" w14:textId="77777777" w:rsidR="002431CC" w:rsidRPr="00C81B52" w:rsidRDefault="002431CC" w:rsidP="002431CC">
      <w:pPr>
        <w:pStyle w:val="ListParagraph"/>
        <w:numPr>
          <w:ilvl w:val="0"/>
          <w:numId w:val="47"/>
        </w:numPr>
        <w:spacing w:after="120" w:line="360" w:lineRule="auto"/>
        <w:jc w:val="both"/>
        <w:rPr>
          <w:rFonts w:asciiTheme="minorHAnsi" w:hAnsiTheme="minorHAnsi"/>
          <w:sz w:val="22"/>
          <w:szCs w:val="22"/>
        </w:rPr>
      </w:pPr>
      <w:r>
        <w:rPr>
          <w:rFonts w:asciiTheme="minorHAnsi" w:hAnsiTheme="minorHAnsi"/>
          <w:sz w:val="22"/>
          <w:szCs w:val="22"/>
        </w:rPr>
        <w:t>Have substantive experience in analysing user behaviour and using this insight to modify app features or design new features.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2431CC">
        <w:rPr>
          <w:rFonts w:asciiTheme="minorHAnsi" w:hAnsiTheme="minorHAnsi" w:cstheme="minorHAnsi"/>
          <w:b/>
          <w:color w:val="000000" w:themeColor="text1"/>
          <w:sz w:val="24"/>
          <w:szCs w:val="26"/>
        </w:rPr>
        <w:t>D</w:t>
      </w:r>
      <w:r w:rsidR="00A6561C" w:rsidRPr="002431CC">
        <w:rPr>
          <w:rFonts w:asciiTheme="minorHAnsi" w:hAnsiTheme="minorHAnsi" w:cstheme="minorHAnsi"/>
          <w:b/>
          <w:color w:val="000000" w:themeColor="text1"/>
          <w:sz w:val="24"/>
          <w:szCs w:val="26"/>
        </w:rPr>
        <w:t xml:space="preserve">esirable </w:t>
      </w:r>
      <w:r w:rsidR="00A47731" w:rsidRPr="002431CC">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0D34FC43" w14:textId="282C0ED6" w:rsidR="002431CC" w:rsidRPr="00846D08" w:rsidRDefault="002431CC" w:rsidP="00846D08">
      <w:pPr>
        <w:pStyle w:val="ListParagraph"/>
        <w:numPr>
          <w:ilvl w:val="0"/>
          <w:numId w:val="47"/>
        </w:numPr>
        <w:spacing w:line="360" w:lineRule="auto"/>
        <w:contextualSpacing w:val="0"/>
        <w:jc w:val="both"/>
        <w:rPr>
          <w:rFonts w:asciiTheme="minorHAnsi" w:hAnsiTheme="minorHAnsi"/>
          <w:sz w:val="22"/>
          <w:szCs w:val="22"/>
        </w:rPr>
      </w:pPr>
      <w:r w:rsidRPr="001573CF">
        <w:rPr>
          <w:rFonts w:asciiTheme="minorHAnsi" w:hAnsiTheme="minorHAnsi"/>
          <w:sz w:val="22"/>
          <w:szCs w:val="22"/>
        </w:rPr>
        <w:t>Have experience as a product owner of an app including in-app payments</w:t>
      </w:r>
      <w:r>
        <w:rPr>
          <w:rFonts w:asciiTheme="minorHAnsi" w:hAnsiTheme="minorHAnsi"/>
          <w:sz w:val="22"/>
          <w:szCs w:val="22"/>
        </w:rPr>
        <w:t>, and/or of an app involving financial transactions</w:t>
      </w:r>
      <w:r w:rsidRPr="001573CF">
        <w:rPr>
          <w:rFonts w:asciiTheme="minorHAnsi" w:hAnsiTheme="minorHAnsi"/>
          <w:sz w:val="22"/>
          <w:szCs w:val="22"/>
        </w:rPr>
        <w:t>;</w:t>
      </w:r>
    </w:p>
    <w:p w14:paraId="535C2603" w14:textId="13091378" w:rsidR="002431CC" w:rsidRPr="00846D08" w:rsidRDefault="002431CC" w:rsidP="00846D08">
      <w:pPr>
        <w:pStyle w:val="ListParagraph"/>
        <w:numPr>
          <w:ilvl w:val="0"/>
          <w:numId w:val="47"/>
        </w:numPr>
        <w:spacing w:line="360" w:lineRule="auto"/>
        <w:contextualSpacing w:val="0"/>
        <w:jc w:val="both"/>
        <w:rPr>
          <w:rFonts w:asciiTheme="minorHAnsi" w:hAnsiTheme="minorHAnsi"/>
          <w:sz w:val="22"/>
          <w:szCs w:val="22"/>
        </w:rPr>
      </w:pPr>
      <w:r w:rsidRPr="001573CF">
        <w:rPr>
          <w:rFonts w:asciiTheme="minorHAnsi" w:hAnsiTheme="minorHAnsi"/>
          <w:sz w:val="22"/>
          <w:szCs w:val="22"/>
        </w:rPr>
        <w:t>Have experience of tools such as JIRA and Trello or similar;</w:t>
      </w:r>
      <w:r>
        <w:rPr>
          <w:rFonts w:asciiTheme="minorHAnsi" w:hAnsiTheme="minorHAnsi"/>
          <w:sz w:val="22"/>
          <w:szCs w:val="22"/>
        </w:rPr>
        <w:t xml:space="preserve"> an</w:t>
      </w:r>
      <w:r w:rsidR="00846D08">
        <w:rPr>
          <w:rFonts w:asciiTheme="minorHAnsi" w:hAnsiTheme="minorHAnsi"/>
          <w:sz w:val="22"/>
          <w:szCs w:val="22"/>
        </w:rPr>
        <w:t>d</w:t>
      </w:r>
    </w:p>
    <w:p w14:paraId="112B14CA" w14:textId="77777777" w:rsidR="002431CC" w:rsidRPr="002E0FB1" w:rsidRDefault="002431CC" w:rsidP="00846D08">
      <w:pPr>
        <w:pStyle w:val="ListParagraph"/>
        <w:numPr>
          <w:ilvl w:val="0"/>
          <w:numId w:val="47"/>
        </w:numPr>
        <w:spacing w:line="360" w:lineRule="auto"/>
        <w:contextualSpacing w:val="0"/>
        <w:rPr>
          <w:rFonts w:asciiTheme="minorHAnsi" w:hAnsiTheme="minorHAnsi"/>
          <w:sz w:val="22"/>
          <w:szCs w:val="22"/>
        </w:rPr>
      </w:pPr>
      <w:r>
        <w:rPr>
          <w:rFonts w:asciiTheme="minorHAnsi" w:hAnsiTheme="minorHAnsi"/>
          <w:sz w:val="22"/>
          <w:szCs w:val="22"/>
        </w:rPr>
        <w:t>Have e</w:t>
      </w:r>
      <w:r w:rsidRPr="004D1EE1">
        <w:rPr>
          <w:rFonts w:asciiTheme="minorHAnsi" w:hAnsiTheme="minorHAnsi"/>
          <w:sz w:val="22"/>
          <w:szCs w:val="22"/>
        </w:rPr>
        <w:t xml:space="preserve">xperience in </w:t>
      </w:r>
      <w:r>
        <w:rPr>
          <w:rFonts w:asciiTheme="minorHAnsi" w:hAnsiTheme="minorHAnsi"/>
          <w:sz w:val="22"/>
          <w:szCs w:val="22"/>
        </w:rPr>
        <w:t>working with</w:t>
      </w:r>
      <w:r w:rsidRPr="004D1EE1">
        <w:rPr>
          <w:rFonts w:asciiTheme="minorHAnsi" w:hAnsiTheme="minorHAnsi"/>
          <w:sz w:val="22"/>
          <w:szCs w:val="22"/>
        </w:rPr>
        <w:t xml:space="preserve"> outsourced app development </w:t>
      </w:r>
      <w:r>
        <w:rPr>
          <w:rFonts w:asciiTheme="minorHAnsi" w:hAnsiTheme="minorHAnsi"/>
          <w:sz w:val="22"/>
          <w:szCs w:val="22"/>
        </w:rPr>
        <w:t>teams.</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6811D0" w:rsidRDefault="007A1FEC" w:rsidP="00E6233C">
      <w:pPr>
        <w:spacing w:line="360" w:lineRule="auto"/>
        <w:ind w:right="-32"/>
        <w:jc w:val="both"/>
        <w:rPr>
          <w:rFonts w:ascii="Calibri" w:hAnsi="Calibri" w:cs="Arial"/>
          <w:b/>
          <w:color w:val="000000" w:themeColor="text1"/>
          <w:sz w:val="24"/>
          <w:szCs w:val="24"/>
        </w:rPr>
      </w:pPr>
      <w:r w:rsidRPr="006811D0">
        <w:rPr>
          <w:rFonts w:ascii="Calibri" w:hAnsi="Calibri" w:cs="Arial"/>
          <w:b/>
          <w:color w:val="000000" w:themeColor="text1"/>
          <w:sz w:val="24"/>
          <w:szCs w:val="24"/>
        </w:rPr>
        <w:t>R</w:t>
      </w:r>
      <w:r w:rsidR="00805C30" w:rsidRPr="006811D0">
        <w:rPr>
          <w:rFonts w:ascii="Calibri" w:hAnsi="Calibri" w:cs="Arial"/>
          <w:b/>
          <w:color w:val="000000" w:themeColor="text1"/>
          <w:sz w:val="24"/>
          <w:szCs w:val="24"/>
        </w:rPr>
        <w:t>emuneration</w:t>
      </w:r>
    </w:p>
    <w:p w14:paraId="7A7C652C" w14:textId="601C4AA1" w:rsidR="000C4777" w:rsidRPr="006811D0" w:rsidRDefault="00690EB0" w:rsidP="00E6233C">
      <w:pPr>
        <w:spacing w:line="360" w:lineRule="auto"/>
        <w:ind w:right="-32"/>
        <w:jc w:val="both"/>
        <w:rPr>
          <w:rFonts w:ascii="Calibri" w:hAnsi="Calibri" w:cs="Arial"/>
          <w:color w:val="000000" w:themeColor="text1"/>
          <w:sz w:val="22"/>
          <w:szCs w:val="22"/>
        </w:rPr>
      </w:pPr>
      <w:r w:rsidRPr="006811D0">
        <w:rPr>
          <w:rFonts w:ascii="Calibri" w:hAnsi="Calibri" w:cs="Arial"/>
          <w:b/>
          <w:color w:val="000000" w:themeColor="text1"/>
          <w:sz w:val="22"/>
          <w:szCs w:val="22"/>
        </w:rPr>
        <w:t>Salary Grade:</w:t>
      </w:r>
      <w:r w:rsidRPr="006811D0">
        <w:rPr>
          <w:rFonts w:ascii="Calibri" w:hAnsi="Calibri" w:cs="Arial"/>
          <w:b/>
          <w:color w:val="000000" w:themeColor="text1"/>
          <w:sz w:val="22"/>
          <w:szCs w:val="22"/>
        </w:rPr>
        <w:tab/>
      </w:r>
      <w:r w:rsidRPr="006811D0">
        <w:rPr>
          <w:rFonts w:ascii="Calibri" w:hAnsi="Calibri" w:cs="Arial"/>
          <w:b/>
          <w:color w:val="000000" w:themeColor="text1"/>
          <w:sz w:val="22"/>
          <w:szCs w:val="22"/>
        </w:rPr>
        <w:tab/>
      </w:r>
      <w:r w:rsidR="00F63274" w:rsidRPr="006811D0">
        <w:rPr>
          <w:rFonts w:ascii="Calibri" w:hAnsi="Calibri" w:cs="Arial"/>
          <w:b/>
          <w:color w:val="000000" w:themeColor="text1"/>
          <w:sz w:val="22"/>
          <w:szCs w:val="22"/>
        </w:rPr>
        <w:tab/>
      </w:r>
      <w:r w:rsidR="006811D0" w:rsidRPr="006811D0">
        <w:rPr>
          <w:rFonts w:ascii="Calibri" w:hAnsi="Calibri" w:cs="Arial"/>
          <w:b/>
          <w:color w:val="000000" w:themeColor="text1"/>
          <w:sz w:val="22"/>
          <w:szCs w:val="22"/>
        </w:rPr>
        <w:t>Engineer Grade II</w:t>
      </w:r>
    </w:p>
    <w:p w14:paraId="114248E4" w14:textId="3880A338" w:rsidR="00A171F1" w:rsidRPr="000F2327" w:rsidRDefault="00D8645F" w:rsidP="007E1886">
      <w:pPr>
        <w:spacing w:line="360" w:lineRule="auto"/>
        <w:ind w:left="2880" w:right="-32" w:hanging="2880"/>
        <w:jc w:val="both"/>
        <w:rPr>
          <w:rFonts w:asciiTheme="minorHAnsi" w:hAnsiTheme="minorHAnsi"/>
          <w:b/>
          <w:color w:val="000000" w:themeColor="text1"/>
          <w:sz w:val="22"/>
          <w:szCs w:val="22"/>
          <w:highlight w:val="yellow"/>
        </w:rPr>
      </w:pPr>
      <w:r w:rsidRPr="006811D0">
        <w:rPr>
          <w:rFonts w:ascii="Calibri" w:hAnsi="Calibri" w:cs="Arial"/>
          <w:b/>
          <w:color w:val="000000" w:themeColor="text1"/>
          <w:sz w:val="22"/>
          <w:szCs w:val="22"/>
        </w:rPr>
        <w:t>Salary Scale</w:t>
      </w:r>
      <w:r w:rsidR="00CF7A81" w:rsidRPr="006811D0">
        <w:rPr>
          <w:rFonts w:ascii="Calibri" w:hAnsi="Calibri" w:cs="Arial"/>
          <w:b/>
          <w:color w:val="000000" w:themeColor="text1"/>
          <w:sz w:val="22"/>
          <w:szCs w:val="22"/>
        </w:rPr>
        <w:t>:</w:t>
      </w:r>
      <w:r w:rsidR="00F63274" w:rsidRPr="006811D0">
        <w:rPr>
          <w:rFonts w:ascii="Calibri" w:hAnsi="Calibri" w:cs="Arial"/>
          <w:b/>
          <w:color w:val="000000" w:themeColor="text1"/>
          <w:sz w:val="22"/>
          <w:szCs w:val="22"/>
        </w:rPr>
        <w:tab/>
      </w:r>
      <w:r w:rsidR="006811D0" w:rsidRPr="006811D0">
        <w:rPr>
          <w:rFonts w:asciiTheme="minorHAnsi" w:hAnsiTheme="minorHAnsi"/>
          <w:b/>
          <w:color w:val="000000" w:themeColor="text1"/>
          <w:sz w:val="22"/>
          <w:szCs w:val="22"/>
        </w:rPr>
        <w:t>€72,511</w:t>
      </w:r>
      <w:r w:rsidR="006811D0">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€74,168</w:t>
      </w:r>
      <w:r w:rsidR="006811D0">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€75,821</w:t>
      </w:r>
      <w:r w:rsidR="006811D0">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€77,481</w:t>
      </w:r>
      <w:r w:rsidR="006811D0">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€79,137</w:t>
      </w:r>
      <w:r w:rsidR="006811D0">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€79,577</w:t>
      </w:r>
      <w:r w:rsidR="006811D0">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€81,210</w:t>
      </w:r>
      <w:r w:rsidR="007E1886">
        <w:rPr>
          <w:rFonts w:asciiTheme="minorHAnsi" w:hAnsiTheme="minorHAnsi"/>
          <w:b/>
          <w:color w:val="000000" w:themeColor="text1"/>
          <w:sz w:val="22"/>
          <w:szCs w:val="22"/>
        </w:rPr>
        <w:t>,</w:t>
      </w:r>
      <w:r w:rsidR="007E1886" w:rsidRPr="006811D0">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€82,904</w:t>
      </w:r>
      <w:r w:rsidR="007E1886">
        <w:rPr>
          <w:rFonts w:asciiTheme="minorHAnsi" w:hAnsiTheme="minorHAnsi"/>
          <w:b/>
          <w:color w:val="000000" w:themeColor="text1"/>
          <w:sz w:val="22"/>
          <w:szCs w:val="22"/>
        </w:rPr>
        <w:t xml:space="preserve">, </w:t>
      </w:r>
      <w:r w:rsidR="006811D0" w:rsidRPr="006811D0">
        <w:rPr>
          <w:rFonts w:asciiTheme="minorHAnsi" w:hAnsiTheme="minorHAnsi"/>
          <w:b/>
          <w:color w:val="000000" w:themeColor="text1"/>
          <w:sz w:val="22"/>
          <w:szCs w:val="22"/>
        </w:rPr>
        <w:t>€85,663</w:t>
      </w:r>
      <w:r w:rsidR="007E1886">
        <w:rPr>
          <w:rFonts w:asciiTheme="minorHAnsi" w:hAnsiTheme="minorHAnsi"/>
          <w:b/>
          <w:color w:val="000000" w:themeColor="text1"/>
          <w:sz w:val="22"/>
          <w:szCs w:val="22"/>
        </w:rPr>
        <w:t xml:space="preserve"> (LSI 1), </w:t>
      </w:r>
      <w:r w:rsidR="006811D0" w:rsidRPr="006811D0">
        <w:rPr>
          <w:rFonts w:asciiTheme="minorHAnsi" w:hAnsiTheme="minorHAnsi"/>
          <w:b/>
          <w:color w:val="000000" w:themeColor="text1"/>
          <w:sz w:val="22"/>
          <w:szCs w:val="22"/>
        </w:rPr>
        <w:t>€88,429</w:t>
      </w:r>
      <w:r w:rsidR="007E1886">
        <w:rPr>
          <w:rFonts w:asciiTheme="minorHAnsi" w:hAnsiTheme="minorHAnsi"/>
          <w:b/>
          <w:color w:val="000000" w:themeColor="text1"/>
          <w:sz w:val="22"/>
          <w:szCs w:val="22"/>
        </w:rPr>
        <w:t xml:space="preserve"> (LSI 2)</w:t>
      </w:r>
    </w:p>
    <w:p w14:paraId="36F308B4" w14:textId="1FE7772D"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r w:rsidR="007E1886">
        <w:rPr>
          <w:rFonts w:ascii="Calibri" w:hAnsi="Calibri" w:cs="Arial"/>
          <w:color w:val="000000" w:themeColor="text1"/>
          <w:sz w:val="22"/>
          <w:szCs w:val="22"/>
          <w:lang w:val="en-IE"/>
        </w:rPr>
        <w:t xml:space="preserve"> </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0F2040C6" w14:textId="43AB5BA4" w:rsidR="007E1886" w:rsidRDefault="007E1886" w:rsidP="00E6233C">
      <w:pPr>
        <w:spacing w:line="360" w:lineRule="auto"/>
        <w:ind w:left="2880" w:right="-32"/>
        <w:jc w:val="both"/>
        <w:rPr>
          <w:rFonts w:asciiTheme="minorHAnsi" w:hAnsiTheme="minorHAnsi"/>
          <w:b/>
          <w:color w:val="000000" w:themeColor="text1"/>
          <w:sz w:val="22"/>
          <w:szCs w:val="22"/>
        </w:rPr>
      </w:pPr>
      <w:r w:rsidRPr="007E1886">
        <w:rPr>
          <w:rFonts w:asciiTheme="minorHAnsi" w:hAnsiTheme="minorHAnsi"/>
          <w:b/>
          <w:color w:val="000000" w:themeColor="text1"/>
          <w:sz w:val="22"/>
          <w:szCs w:val="22"/>
        </w:rPr>
        <w:t>€68,988</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€70,569</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€72,134</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€73,715</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€75,288</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€76,862</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€78,429</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€80,020</w:t>
      </w:r>
      <w:r>
        <w:rPr>
          <w:rFonts w:asciiTheme="minorHAnsi" w:hAnsiTheme="minorHAnsi"/>
          <w:b/>
          <w:color w:val="000000" w:themeColor="text1"/>
          <w:sz w:val="22"/>
          <w:szCs w:val="22"/>
        </w:rPr>
        <w:t xml:space="preserve">, </w:t>
      </w:r>
      <w:r w:rsidRPr="007E1886">
        <w:rPr>
          <w:rFonts w:asciiTheme="minorHAnsi" w:hAnsiTheme="minorHAnsi"/>
          <w:b/>
          <w:color w:val="000000" w:themeColor="text1"/>
          <w:sz w:val="22"/>
          <w:szCs w:val="22"/>
        </w:rPr>
        <w:t>€81,378</w:t>
      </w:r>
      <w:r>
        <w:rPr>
          <w:rFonts w:asciiTheme="minorHAnsi" w:hAnsiTheme="minorHAnsi"/>
          <w:b/>
          <w:color w:val="000000" w:themeColor="text1"/>
          <w:sz w:val="22"/>
          <w:szCs w:val="22"/>
        </w:rPr>
        <w:t xml:space="preserve"> (LSI 1), </w:t>
      </w:r>
      <w:r w:rsidRPr="007E1886">
        <w:rPr>
          <w:rFonts w:asciiTheme="minorHAnsi" w:hAnsiTheme="minorHAnsi"/>
          <w:b/>
          <w:color w:val="000000" w:themeColor="text1"/>
          <w:sz w:val="22"/>
          <w:szCs w:val="22"/>
        </w:rPr>
        <w:t>€84,002</w:t>
      </w:r>
      <w:r>
        <w:rPr>
          <w:rFonts w:asciiTheme="minorHAnsi" w:hAnsiTheme="minorHAnsi"/>
          <w:b/>
          <w:color w:val="000000" w:themeColor="text1"/>
          <w:sz w:val="22"/>
          <w:szCs w:val="22"/>
        </w:rPr>
        <w:t xml:space="preserve"> (LSI 2)</w:t>
      </w:r>
    </w:p>
    <w:p w14:paraId="09AD519E" w14:textId="193FFE4F" w:rsidR="008008DE" w:rsidRPr="00D75834" w:rsidRDefault="00B03E59" w:rsidP="00E6233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Non-Personal</w:t>
      </w:r>
      <w:r w:rsidR="00A171F1" w:rsidRPr="000F2327">
        <w:rPr>
          <w:rFonts w:ascii="Calibri" w:hAnsi="Calibri" w:cs="Arial"/>
          <w:b/>
          <w:color w:val="000000" w:themeColor="text1"/>
          <w:sz w:val="22"/>
          <w:szCs w:val="22"/>
          <w:lang w:val="en-IE"/>
        </w:rPr>
        <w:t xml:space="preserve"> Pension Contribution (non-PPC) rate.</w:t>
      </w:r>
      <w:r w:rsidR="00A171F1" w:rsidRPr="000F2327">
        <w:rPr>
          <w:rFonts w:ascii="Calibri" w:hAnsi="Calibri" w:cs="Arial"/>
          <w:color w:val="000000" w:themeColor="text1"/>
          <w:sz w:val="22"/>
          <w:szCs w:val="22"/>
          <w:lang w:val="en-IE"/>
        </w:rPr>
        <w:t xml:space="preserve"> </w:t>
      </w:r>
      <w:r w:rsidR="00A171F1"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09942314"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7E1886">
        <w:rPr>
          <w:rFonts w:ascii="Calibri" w:hAnsi="Calibri" w:cs="Arial"/>
          <w:b/>
          <w:color w:val="000000" w:themeColor="text1"/>
          <w:sz w:val="22"/>
          <w:szCs w:val="22"/>
        </w:rPr>
        <w:t>Annual Leave</w:t>
      </w:r>
      <w:r w:rsidR="007469D5" w:rsidRPr="007E1886">
        <w:rPr>
          <w:rFonts w:ascii="Calibri" w:hAnsi="Calibri" w:cs="Arial"/>
          <w:b/>
          <w:color w:val="000000" w:themeColor="text1"/>
          <w:sz w:val="22"/>
          <w:szCs w:val="22"/>
        </w:rPr>
        <w:t>:</w:t>
      </w:r>
      <w:r w:rsidRPr="007E1886">
        <w:rPr>
          <w:rFonts w:ascii="Calibri" w:hAnsi="Calibri" w:cs="Arial"/>
          <w:b/>
          <w:color w:val="000000" w:themeColor="text1"/>
          <w:sz w:val="22"/>
          <w:szCs w:val="22"/>
        </w:rPr>
        <w:tab/>
      </w:r>
      <w:r w:rsidR="007E1886" w:rsidRPr="007E1886">
        <w:rPr>
          <w:rFonts w:ascii="Calibri" w:hAnsi="Calibri" w:cs="Arial"/>
          <w:color w:val="000000" w:themeColor="text1"/>
          <w:sz w:val="22"/>
          <w:szCs w:val="22"/>
        </w:rPr>
        <w:t>27</w:t>
      </w:r>
      <w:r w:rsidR="002332B4" w:rsidRPr="007E1886">
        <w:rPr>
          <w:rFonts w:ascii="Calibri" w:hAnsi="Calibri" w:cs="Arial"/>
          <w:color w:val="000000" w:themeColor="text1"/>
          <w:sz w:val="22"/>
          <w:szCs w:val="22"/>
        </w:rPr>
        <w:t xml:space="preserve"> </w:t>
      </w:r>
      <w:r w:rsidRPr="007E1886">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r w:rsidR="00B03E59">
        <w:rPr>
          <w:rFonts w:ascii="Calibri" w:hAnsi="Calibri" w:cs="Arial"/>
          <w:color w:val="000000" w:themeColor="text1"/>
          <w:sz w:val="22"/>
          <w:szCs w:val="22"/>
        </w:rPr>
        <w:t xml:space="preserve">based </w:t>
      </w:r>
      <w:r w:rsidRPr="000F2327">
        <w:rPr>
          <w:rFonts w:ascii="Calibri" w:hAnsi="Calibri" w:cs="Arial"/>
          <w:color w:val="000000" w:themeColor="text1"/>
          <w:sz w:val="22"/>
          <w:szCs w:val="22"/>
        </w:rPr>
        <w:t xml:space="preserve">on </w:t>
      </w:r>
      <w:r w:rsidR="00B03E59">
        <w:rPr>
          <w:rFonts w:ascii="Calibri" w:hAnsi="Calibri" w:cs="Arial"/>
          <w:color w:val="000000" w:themeColor="text1"/>
          <w:sz w:val="22"/>
          <w:szCs w:val="22"/>
        </w:rPr>
        <w:t>a</w:t>
      </w:r>
      <w:r w:rsidRPr="000F2327">
        <w:rPr>
          <w:rFonts w:ascii="Calibri" w:hAnsi="Calibri" w:cs="Arial"/>
          <w:color w:val="000000" w:themeColor="text1"/>
          <w:sz w:val="22"/>
          <w:szCs w:val="22"/>
        </w:rPr>
        <w:t xml:space="preserve"> five day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lastRenderedPageBreak/>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00576358"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27722F" w:rsidRPr="0027722F">
        <w:rPr>
          <w:rStyle w:val="cf01"/>
          <w:rFonts w:asciiTheme="minorHAnsi" w:hAnsiTheme="minorHAnsi" w:cstheme="minorHAnsi"/>
          <w:sz w:val="22"/>
          <w:szCs w:val="22"/>
        </w:rPr>
        <w:t>careers@nationaltransport.ie</w:t>
      </w:r>
      <w:r w:rsidR="0027722F" w:rsidRPr="0027722F">
        <w:rPr>
          <w:rStyle w:val="cf0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2B7EB6E5"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7E1886" w:rsidRPr="007E1886">
        <w:rPr>
          <w:rFonts w:ascii="Calibri" w:hAnsi="Calibri" w:cs="Arial"/>
          <w:color w:val="000000" w:themeColor="text1"/>
          <w:sz w:val="22"/>
          <w:szCs w:val="22"/>
        </w:rPr>
        <w:t>Product Owner</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7E1886">
        <w:rPr>
          <w:rFonts w:ascii="Calibri" w:hAnsi="Calibri" w:cs="Arial"/>
          <w:color w:val="000000" w:themeColor="text1"/>
          <w:sz w:val="22"/>
          <w:szCs w:val="22"/>
          <w:lang w:val="en-IE"/>
        </w:rPr>
        <w:t>and</w:t>
      </w:r>
    </w:p>
    <w:p w14:paraId="10AB0F30" w14:textId="386FC4EF" w:rsidR="004433F2" w:rsidRDefault="00A323E0" w:rsidP="00E6233C">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7E1886">
        <w:rPr>
          <w:rFonts w:ascii="Calibri" w:hAnsi="Calibri" w:cs="Arial"/>
          <w:color w:val="000000" w:themeColor="text1"/>
          <w:sz w:val="22"/>
          <w:szCs w:val="22"/>
          <w:lang w:val="en-IE"/>
        </w:rPr>
        <w:t>.</w:t>
      </w:r>
      <w:r w:rsidR="007E1886" w:rsidRPr="000F2327">
        <w:rPr>
          <w:rFonts w:ascii="Calibri" w:hAnsi="Calibri" w:cs="Arial"/>
          <w:color w:val="000000" w:themeColor="text1"/>
          <w:sz w:val="22"/>
          <w:szCs w:val="22"/>
          <w:lang w:val="en-IE"/>
        </w:rPr>
        <w:t xml:space="preserve"> </w:t>
      </w:r>
    </w:p>
    <w:p w14:paraId="0F17E49D" w14:textId="77777777" w:rsidR="00846D08" w:rsidRPr="007E1886" w:rsidRDefault="00846D08" w:rsidP="00846D08">
      <w:pPr>
        <w:tabs>
          <w:tab w:val="num" w:pos="1080"/>
          <w:tab w:val="left" w:pos="1701"/>
        </w:tabs>
        <w:spacing w:line="360" w:lineRule="auto"/>
        <w:ind w:right="-32"/>
        <w:jc w:val="both"/>
        <w:rPr>
          <w:rFonts w:ascii="Calibri" w:hAnsi="Calibri" w:cs="Arial"/>
          <w:color w:val="000000" w:themeColor="text1"/>
          <w:sz w:val="22"/>
          <w:szCs w:val="22"/>
          <w:lang w:val="en-IE"/>
        </w:rPr>
      </w:pPr>
    </w:p>
    <w:p w14:paraId="0D726900" w14:textId="409F7E4E"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7E1886">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38F0EE66"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2431CC">
        <w:rPr>
          <w:rFonts w:ascii="Calibri" w:hAnsi="Calibri" w:cs="Arial"/>
          <w:b/>
          <w:color w:val="000000" w:themeColor="text1"/>
          <w:sz w:val="22"/>
          <w:szCs w:val="22"/>
        </w:rPr>
        <w:t xml:space="preserve">Friday, </w:t>
      </w:r>
      <w:r w:rsidR="007E1886">
        <w:rPr>
          <w:rFonts w:ascii="Calibri" w:hAnsi="Calibri" w:cs="Arial"/>
          <w:b/>
          <w:color w:val="000000" w:themeColor="text1"/>
          <w:sz w:val="22"/>
          <w:szCs w:val="22"/>
        </w:rPr>
        <w:t>29</w:t>
      </w:r>
      <w:r w:rsidR="007E1886" w:rsidRPr="007E1886">
        <w:rPr>
          <w:rFonts w:ascii="Calibri" w:hAnsi="Calibri" w:cs="Arial"/>
          <w:b/>
          <w:color w:val="000000" w:themeColor="text1"/>
          <w:sz w:val="22"/>
          <w:szCs w:val="22"/>
          <w:vertAlign w:val="superscript"/>
        </w:rPr>
        <w:t>th</w:t>
      </w:r>
      <w:r w:rsidR="007E1886">
        <w:rPr>
          <w:rFonts w:ascii="Calibri" w:hAnsi="Calibri" w:cs="Arial"/>
          <w:b/>
          <w:color w:val="000000" w:themeColor="text1"/>
          <w:sz w:val="22"/>
          <w:szCs w:val="22"/>
        </w:rPr>
        <w:t xml:space="preserve"> November 2024</w:t>
      </w:r>
      <w:r w:rsidR="00B03E59"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79A41574"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7E1886" w:rsidRPr="007E1886">
        <w:rPr>
          <w:rStyle w:val="cf01"/>
          <w:rFonts w:asciiTheme="minorHAnsi" w:hAnsiTheme="minorHAnsi" w:cstheme="minorHAnsi"/>
          <w:bCs w:val="0"/>
          <w:sz w:val="22"/>
          <w:szCs w:val="22"/>
        </w:rPr>
        <w:t>careers@nationaltransport.ie</w:t>
      </w:r>
      <w:r w:rsidR="007E1886">
        <w:rPr>
          <w:rStyle w:val="cf01"/>
          <w:rFonts w:asciiTheme="minorHAnsi" w:hAnsiTheme="minorHAnsi" w:cstheme="minorHAnsi"/>
          <w:sz w:val="22"/>
          <w:szCs w:val="22"/>
        </w:rPr>
        <w:t xml:space="preserve">. </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791B6BF0" w14:textId="77777777" w:rsidR="00846D08" w:rsidRDefault="00846D08" w:rsidP="008A0B4E">
      <w:pPr>
        <w:spacing w:line="360" w:lineRule="auto"/>
        <w:ind w:right="-32"/>
        <w:jc w:val="center"/>
        <w:rPr>
          <w:rFonts w:ascii="Calibri" w:eastAsia="Calibri" w:hAnsi="Calibri" w:cs="Arial"/>
          <w:b/>
          <w:color w:val="000000" w:themeColor="text1"/>
          <w:sz w:val="32"/>
          <w:szCs w:val="32"/>
          <w:lang w:val="en-IE"/>
        </w:rPr>
      </w:pPr>
    </w:p>
    <w:p w14:paraId="726F984E" w14:textId="3AAC2530" w:rsidR="00B26CA5" w:rsidRPr="00D75834" w:rsidRDefault="007E1886"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Product Owner -</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7E1886" w:rsidRPr="002D2DED" w14:paraId="1F264FBD" w14:textId="77777777" w:rsidTr="00676857">
        <w:tc>
          <w:tcPr>
            <w:tcW w:w="1843" w:type="dxa"/>
            <w:vMerge w:val="restart"/>
            <w:tcBorders>
              <w:top w:val="nil"/>
              <w:left w:val="nil"/>
              <w:bottom w:val="nil"/>
              <w:right w:val="nil"/>
            </w:tcBorders>
            <w:shd w:val="clear" w:color="auto" w:fill="ED7D31"/>
          </w:tcPr>
          <w:p w14:paraId="73580E21"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1423093E"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7E1886" w:rsidRPr="002D2DED" w14:paraId="3FF1CD12" w14:textId="77777777" w:rsidTr="00676857">
        <w:tc>
          <w:tcPr>
            <w:tcW w:w="1843" w:type="dxa"/>
            <w:vMerge/>
            <w:tcBorders>
              <w:top w:val="nil"/>
              <w:left w:val="nil"/>
              <w:bottom w:val="nil"/>
              <w:right w:val="nil"/>
            </w:tcBorders>
            <w:shd w:val="clear" w:color="auto" w:fill="ED7D31"/>
          </w:tcPr>
          <w:p w14:paraId="1BCDD2B0"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2187949"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7E1886" w:rsidRPr="002D2DED" w14:paraId="57C72D81" w14:textId="77777777" w:rsidTr="00676857">
        <w:tc>
          <w:tcPr>
            <w:tcW w:w="1843" w:type="dxa"/>
            <w:vMerge/>
            <w:tcBorders>
              <w:top w:val="nil"/>
              <w:left w:val="nil"/>
              <w:bottom w:val="nil"/>
              <w:right w:val="nil"/>
            </w:tcBorders>
            <w:shd w:val="clear" w:color="auto" w:fill="ED7D31"/>
          </w:tcPr>
          <w:p w14:paraId="3A55066E"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AE46A19"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7E1886" w:rsidRPr="002D2DED" w14:paraId="7AD13E62" w14:textId="77777777" w:rsidTr="00676857">
        <w:tc>
          <w:tcPr>
            <w:tcW w:w="1843" w:type="dxa"/>
            <w:vMerge/>
            <w:tcBorders>
              <w:top w:val="nil"/>
              <w:left w:val="nil"/>
              <w:bottom w:val="nil"/>
              <w:right w:val="nil"/>
            </w:tcBorders>
            <w:shd w:val="clear" w:color="auto" w:fill="ED7D31"/>
          </w:tcPr>
          <w:p w14:paraId="0F298169"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65660ED"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7E1886" w:rsidRPr="002D2DED" w14:paraId="1540D282" w14:textId="77777777" w:rsidTr="00676857">
        <w:tc>
          <w:tcPr>
            <w:tcW w:w="1843" w:type="dxa"/>
            <w:vMerge/>
            <w:tcBorders>
              <w:top w:val="nil"/>
              <w:left w:val="nil"/>
              <w:bottom w:val="nil"/>
              <w:right w:val="nil"/>
            </w:tcBorders>
            <w:shd w:val="clear" w:color="auto" w:fill="ED7D31"/>
          </w:tcPr>
          <w:p w14:paraId="48533115"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A8ED9A8"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7E1886" w:rsidRPr="002D2DED" w14:paraId="7CC1959B" w14:textId="77777777" w:rsidTr="00676857">
        <w:tc>
          <w:tcPr>
            <w:tcW w:w="1843" w:type="dxa"/>
            <w:tcBorders>
              <w:top w:val="nil"/>
              <w:left w:val="nil"/>
              <w:bottom w:val="nil"/>
              <w:right w:val="nil"/>
            </w:tcBorders>
            <w:shd w:val="clear" w:color="auto" w:fill="ED7D31"/>
          </w:tcPr>
          <w:p w14:paraId="72D87BD9"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6141DA1"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7E1886" w:rsidRPr="002D2DED" w14:paraId="35D0277A" w14:textId="77777777" w:rsidTr="00676857">
        <w:tc>
          <w:tcPr>
            <w:tcW w:w="1843" w:type="dxa"/>
            <w:vMerge w:val="restart"/>
            <w:tcBorders>
              <w:top w:val="nil"/>
              <w:left w:val="single" w:sz="4" w:space="0" w:color="FFFFFF"/>
              <w:right w:val="single" w:sz="4" w:space="0" w:color="FFFFFF"/>
            </w:tcBorders>
            <w:shd w:val="clear" w:color="auto" w:fill="4472C4"/>
          </w:tcPr>
          <w:p w14:paraId="29955FB5"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62857B18"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7E1886" w:rsidRPr="002D2DED" w14:paraId="5EDF5B69" w14:textId="77777777" w:rsidTr="00676857">
        <w:tc>
          <w:tcPr>
            <w:tcW w:w="1843" w:type="dxa"/>
            <w:vMerge/>
            <w:tcBorders>
              <w:left w:val="single" w:sz="4" w:space="0" w:color="FFFFFF"/>
              <w:right w:val="single" w:sz="4" w:space="0" w:color="FFFFFF"/>
            </w:tcBorders>
            <w:shd w:val="clear" w:color="auto" w:fill="4472C4"/>
          </w:tcPr>
          <w:p w14:paraId="0D875268"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B712684"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7E1886" w:rsidRPr="002D2DED" w14:paraId="671CCB69" w14:textId="77777777" w:rsidTr="00676857">
        <w:tc>
          <w:tcPr>
            <w:tcW w:w="1843" w:type="dxa"/>
            <w:vMerge/>
            <w:tcBorders>
              <w:left w:val="single" w:sz="4" w:space="0" w:color="FFFFFF"/>
              <w:right w:val="single" w:sz="4" w:space="0" w:color="FFFFFF"/>
            </w:tcBorders>
            <w:shd w:val="clear" w:color="auto" w:fill="4472C4"/>
          </w:tcPr>
          <w:p w14:paraId="39C2B398"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D70AFFF"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previous knowledge and experience in order to guide decisions</w:t>
            </w:r>
          </w:p>
        </w:tc>
      </w:tr>
      <w:tr w:rsidR="007E1886" w:rsidRPr="002D2DED" w14:paraId="0CE4B910" w14:textId="77777777" w:rsidTr="00676857">
        <w:tc>
          <w:tcPr>
            <w:tcW w:w="1843" w:type="dxa"/>
            <w:vMerge/>
            <w:tcBorders>
              <w:left w:val="single" w:sz="4" w:space="0" w:color="FFFFFF"/>
              <w:right w:val="single" w:sz="4" w:space="0" w:color="FFFFFF"/>
            </w:tcBorders>
            <w:shd w:val="clear" w:color="auto" w:fill="4472C4"/>
          </w:tcPr>
          <w:p w14:paraId="56B46C0F"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62A27162"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7E1886" w:rsidRPr="002D2DED" w14:paraId="6B08317C" w14:textId="77777777" w:rsidTr="00676857">
        <w:tc>
          <w:tcPr>
            <w:tcW w:w="1843" w:type="dxa"/>
            <w:vMerge/>
            <w:tcBorders>
              <w:left w:val="single" w:sz="4" w:space="0" w:color="FFFFFF"/>
              <w:bottom w:val="nil"/>
              <w:right w:val="single" w:sz="4" w:space="0" w:color="FFFFFF"/>
            </w:tcBorders>
            <w:shd w:val="clear" w:color="auto" w:fill="4472C4"/>
          </w:tcPr>
          <w:p w14:paraId="3D9C42F9"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2EC23216"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7E1886" w:rsidRPr="002D2DED" w14:paraId="7C8C3082" w14:textId="77777777" w:rsidTr="00676857">
        <w:tc>
          <w:tcPr>
            <w:tcW w:w="1843" w:type="dxa"/>
            <w:vMerge w:val="restart"/>
            <w:tcBorders>
              <w:top w:val="nil"/>
              <w:left w:val="nil"/>
              <w:right w:val="nil"/>
            </w:tcBorders>
            <w:shd w:val="clear" w:color="auto" w:fill="C0504D"/>
          </w:tcPr>
          <w:p w14:paraId="345F446E"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45D0F678"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7E1886" w:rsidRPr="002D2DED" w14:paraId="64F89CBB" w14:textId="77777777" w:rsidTr="00676857">
        <w:tc>
          <w:tcPr>
            <w:tcW w:w="1843" w:type="dxa"/>
            <w:vMerge/>
            <w:tcBorders>
              <w:left w:val="nil"/>
              <w:right w:val="nil"/>
            </w:tcBorders>
            <w:shd w:val="clear" w:color="auto" w:fill="C0504D"/>
          </w:tcPr>
          <w:p w14:paraId="292DE00B"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FF8C05D"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7E1886" w:rsidRPr="002D2DED" w14:paraId="3270CF6F" w14:textId="77777777" w:rsidTr="00676857">
        <w:tc>
          <w:tcPr>
            <w:tcW w:w="1843" w:type="dxa"/>
            <w:vMerge/>
            <w:tcBorders>
              <w:left w:val="nil"/>
              <w:right w:val="nil"/>
            </w:tcBorders>
            <w:shd w:val="clear" w:color="auto" w:fill="C0504D"/>
          </w:tcPr>
          <w:p w14:paraId="30A18FD2"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117359E"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7E1886" w:rsidRPr="002D2DED" w14:paraId="11B5E043" w14:textId="77777777" w:rsidTr="00676857">
        <w:tc>
          <w:tcPr>
            <w:tcW w:w="1843" w:type="dxa"/>
            <w:vMerge/>
            <w:tcBorders>
              <w:left w:val="nil"/>
              <w:right w:val="nil"/>
            </w:tcBorders>
            <w:shd w:val="clear" w:color="auto" w:fill="C0504D"/>
          </w:tcPr>
          <w:p w14:paraId="2CD2916B"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5218346"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7E1886" w:rsidRPr="002D2DED" w14:paraId="07013509" w14:textId="77777777" w:rsidTr="00676857">
        <w:tc>
          <w:tcPr>
            <w:tcW w:w="1843" w:type="dxa"/>
            <w:vMerge/>
            <w:tcBorders>
              <w:left w:val="nil"/>
              <w:right w:val="nil"/>
            </w:tcBorders>
            <w:shd w:val="clear" w:color="auto" w:fill="C0504D"/>
          </w:tcPr>
          <w:p w14:paraId="096916ED"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FA1387F"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7E1886" w:rsidRPr="002D2DED" w14:paraId="15E0001A" w14:textId="77777777" w:rsidTr="00676857">
        <w:tc>
          <w:tcPr>
            <w:tcW w:w="1843" w:type="dxa"/>
            <w:vMerge/>
            <w:tcBorders>
              <w:left w:val="nil"/>
              <w:right w:val="nil"/>
            </w:tcBorders>
            <w:shd w:val="clear" w:color="auto" w:fill="C0504D"/>
          </w:tcPr>
          <w:p w14:paraId="545C4607"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2F75760"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7E1886" w:rsidRPr="002D2DED" w14:paraId="52221B3F" w14:textId="77777777" w:rsidTr="00676857">
        <w:tc>
          <w:tcPr>
            <w:tcW w:w="1843" w:type="dxa"/>
            <w:vMerge/>
            <w:tcBorders>
              <w:left w:val="nil"/>
              <w:right w:val="nil"/>
            </w:tcBorders>
            <w:shd w:val="clear" w:color="auto" w:fill="C0504D"/>
          </w:tcPr>
          <w:p w14:paraId="4D70B398"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77A6B95D"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7E1886" w:rsidRPr="002D2DED" w14:paraId="37CA4C13" w14:textId="77777777" w:rsidTr="00676857">
        <w:tc>
          <w:tcPr>
            <w:tcW w:w="1843" w:type="dxa"/>
            <w:vMerge/>
            <w:tcBorders>
              <w:left w:val="nil"/>
              <w:right w:val="nil"/>
            </w:tcBorders>
            <w:shd w:val="clear" w:color="auto" w:fill="C0504D"/>
          </w:tcPr>
          <w:p w14:paraId="017C2079"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1F67A9B"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7E1886" w:rsidRPr="002D2DED" w14:paraId="29BAF210" w14:textId="77777777" w:rsidTr="00676857">
        <w:tc>
          <w:tcPr>
            <w:tcW w:w="1843" w:type="dxa"/>
            <w:vMerge/>
            <w:tcBorders>
              <w:left w:val="single" w:sz="4" w:space="0" w:color="FFFFFF"/>
              <w:bottom w:val="nil"/>
              <w:right w:val="single" w:sz="4" w:space="0" w:color="FFFFFF"/>
            </w:tcBorders>
            <w:shd w:val="clear" w:color="auto" w:fill="C0504D"/>
          </w:tcPr>
          <w:p w14:paraId="66D549FB"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1F8418DF"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7E1886" w:rsidRPr="002D2DED" w14:paraId="011F5EAA" w14:textId="77777777" w:rsidTr="00676857">
        <w:tc>
          <w:tcPr>
            <w:tcW w:w="1843" w:type="dxa"/>
            <w:vMerge w:val="restart"/>
            <w:tcBorders>
              <w:top w:val="nil"/>
              <w:left w:val="nil"/>
              <w:right w:val="nil"/>
            </w:tcBorders>
            <w:shd w:val="clear" w:color="auto" w:fill="4BACC6"/>
          </w:tcPr>
          <w:p w14:paraId="03E51B7E"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075C75C9"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7E1886" w:rsidRPr="002D2DED" w14:paraId="061CCECC" w14:textId="77777777" w:rsidTr="00676857">
        <w:tc>
          <w:tcPr>
            <w:tcW w:w="1843" w:type="dxa"/>
            <w:vMerge/>
            <w:tcBorders>
              <w:left w:val="nil"/>
              <w:right w:val="nil"/>
            </w:tcBorders>
            <w:shd w:val="clear" w:color="auto" w:fill="4BACC6"/>
          </w:tcPr>
          <w:p w14:paraId="2B7F4D8A"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DCE804C"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7E1886" w:rsidRPr="002D2DED" w14:paraId="652D82BB" w14:textId="77777777" w:rsidTr="00676857">
        <w:tc>
          <w:tcPr>
            <w:tcW w:w="1843" w:type="dxa"/>
            <w:vMerge/>
            <w:tcBorders>
              <w:left w:val="nil"/>
              <w:right w:val="nil"/>
            </w:tcBorders>
            <w:shd w:val="clear" w:color="auto" w:fill="4BACC6"/>
          </w:tcPr>
          <w:p w14:paraId="1A36288D"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ABE64CB"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7E1886" w:rsidRPr="002D2DED" w14:paraId="20C4DDB0" w14:textId="77777777" w:rsidTr="00676857">
        <w:tc>
          <w:tcPr>
            <w:tcW w:w="1843" w:type="dxa"/>
            <w:vMerge/>
            <w:tcBorders>
              <w:left w:val="nil"/>
              <w:right w:val="nil"/>
            </w:tcBorders>
            <w:shd w:val="clear" w:color="auto" w:fill="4BACC6"/>
          </w:tcPr>
          <w:p w14:paraId="1DFD289C"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40BB8FF"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7E1886" w:rsidRPr="002D2DED" w14:paraId="4945F8C9" w14:textId="77777777" w:rsidTr="00676857">
        <w:tc>
          <w:tcPr>
            <w:tcW w:w="1843" w:type="dxa"/>
            <w:vMerge/>
            <w:tcBorders>
              <w:left w:val="nil"/>
              <w:right w:val="nil"/>
            </w:tcBorders>
            <w:shd w:val="clear" w:color="auto" w:fill="4BACC6"/>
          </w:tcPr>
          <w:p w14:paraId="3B79749E"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D7B9668"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7E1886" w:rsidRPr="002D2DED" w14:paraId="1FA6C5EC" w14:textId="77777777" w:rsidTr="00676857">
        <w:tc>
          <w:tcPr>
            <w:tcW w:w="1843" w:type="dxa"/>
            <w:vMerge/>
            <w:tcBorders>
              <w:left w:val="nil"/>
              <w:bottom w:val="nil"/>
              <w:right w:val="nil"/>
            </w:tcBorders>
            <w:shd w:val="clear" w:color="auto" w:fill="4BACC6"/>
          </w:tcPr>
          <w:p w14:paraId="1C660B2B"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1C7236D"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7E1886" w:rsidRPr="002D2DED" w14:paraId="6F6743C9" w14:textId="77777777" w:rsidTr="00676857">
        <w:tc>
          <w:tcPr>
            <w:tcW w:w="1843" w:type="dxa"/>
            <w:tcBorders>
              <w:top w:val="nil"/>
              <w:left w:val="nil"/>
              <w:bottom w:val="nil"/>
              <w:right w:val="nil"/>
            </w:tcBorders>
            <w:shd w:val="clear" w:color="auto" w:fill="4BACC6"/>
          </w:tcPr>
          <w:p w14:paraId="5C03A07C"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230A644"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7E1886" w:rsidRPr="002D2DED" w14:paraId="2D5FA605" w14:textId="77777777" w:rsidTr="00676857">
        <w:trPr>
          <w:trHeight w:val="547"/>
        </w:trPr>
        <w:tc>
          <w:tcPr>
            <w:tcW w:w="1843" w:type="dxa"/>
            <w:vMerge w:val="restart"/>
            <w:tcBorders>
              <w:top w:val="nil"/>
              <w:left w:val="single" w:sz="4" w:space="0" w:color="FFFFFF"/>
              <w:right w:val="single" w:sz="4" w:space="0" w:color="FFFFFF"/>
            </w:tcBorders>
            <w:shd w:val="clear" w:color="auto" w:fill="9BBB59"/>
          </w:tcPr>
          <w:p w14:paraId="67A061FD"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0EDC1D60"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7E1886" w:rsidRPr="002D2DED" w14:paraId="223F8A68" w14:textId="77777777" w:rsidTr="00676857">
        <w:trPr>
          <w:trHeight w:val="428"/>
        </w:trPr>
        <w:tc>
          <w:tcPr>
            <w:tcW w:w="1843" w:type="dxa"/>
            <w:vMerge/>
            <w:tcBorders>
              <w:left w:val="single" w:sz="4" w:space="0" w:color="FFFFFF"/>
              <w:right w:val="single" w:sz="4" w:space="0" w:color="FFFFFF"/>
            </w:tcBorders>
            <w:shd w:val="clear" w:color="auto" w:fill="9BBB59"/>
          </w:tcPr>
          <w:p w14:paraId="4970E5DB"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0B2EECCF"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Has </w:t>
            </w:r>
            <w:proofErr w:type="gramStart"/>
            <w:r w:rsidRPr="002D2DED">
              <w:rPr>
                <w:rFonts w:ascii="Calibri" w:eastAsia="Calibri" w:hAnsi="Calibri" w:cs="Arial"/>
                <w:color w:val="000000"/>
                <w:sz w:val="17"/>
                <w:szCs w:val="17"/>
              </w:rPr>
              <w:t>high levels</w:t>
            </w:r>
            <w:proofErr w:type="gramEnd"/>
            <w:r w:rsidRPr="002D2DED">
              <w:rPr>
                <w:rFonts w:ascii="Calibri" w:eastAsia="Calibri" w:hAnsi="Calibri" w:cs="Arial"/>
                <w:color w:val="000000"/>
                <w:sz w:val="17"/>
                <w:szCs w:val="17"/>
              </w:rPr>
              <w:t xml:space="preserve"> of expertise and broad Public Sector knowledge relevant to his/her area of work</w:t>
            </w:r>
          </w:p>
        </w:tc>
      </w:tr>
      <w:tr w:rsidR="007E1886" w:rsidRPr="002D2DED" w14:paraId="179B85DC" w14:textId="77777777" w:rsidTr="00676857">
        <w:tc>
          <w:tcPr>
            <w:tcW w:w="1843" w:type="dxa"/>
            <w:vMerge/>
            <w:tcBorders>
              <w:left w:val="single" w:sz="4" w:space="0" w:color="FFFFFF"/>
              <w:bottom w:val="single" w:sz="4" w:space="0" w:color="FFFFFF"/>
              <w:right w:val="single" w:sz="4" w:space="0" w:color="FFFFFF"/>
            </w:tcBorders>
            <w:shd w:val="clear" w:color="auto" w:fill="9BBB59"/>
          </w:tcPr>
          <w:p w14:paraId="7AAD7D03"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6CA1D5FF" w14:textId="2FCD2B84"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r w:rsidR="00B03E59" w:rsidRPr="002D2DED">
              <w:rPr>
                <w:rFonts w:ascii="Calibri" w:eastAsia="Calibri" w:hAnsi="Calibri" w:cs="Arial"/>
                <w:color w:val="000000"/>
                <w:sz w:val="17"/>
                <w:szCs w:val="17"/>
              </w:rPr>
              <w:t>self-development</w:t>
            </w:r>
            <w:r w:rsidRPr="002D2DED">
              <w:rPr>
                <w:rFonts w:ascii="Calibri" w:eastAsia="Calibri" w:hAnsi="Calibri" w:cs="Arial"/>
                <w:color w:val="000000"/>
                <w:sz w:val="17"/>
                <w:szCs w:val="17"/>
              </w:rPr>
              <w:t xml:space="preserve">, striving to improve performance </w:t>
            </w:r>
          </w:p>
        </w:tc>
      </w:tr>
      <w:tr w:rsidR="007E1886" w:rsidRPr="002D2DED" w14:paraId="6BC76406" w14:textId="77777777" w:rsidTr="00676857">
        <w:tc>
          <w:tcPr>
            <w:tcW w:w="1843" w:type="dxa"/>
            <w:vMerge w:val="restart"/>
            <w:tcBorders>
              <w:top w:val="single" w:sz="4" w:space="0" w:color="FFFFFF"/>
              <w:left w:val="single" w:sz="4" w:space="0" w:color="FFFFFF"/>
              <w:right w:val="single" w:sz="4" w:space="0" w:color="FFFFFF"/>
            </w:tcBorders>
            <w:shd w:val="clear" w:color="auto" w:fill="8064A2"/>
          </w:tcPr>
          <w:p w14:paraId="446B03E4"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588119CB"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Strives to perform at </w:t>
            </w:r>
            <w:proofErr w:type="gramStart"/>
            <w:r w:rsidRPr="002D2DED">
              <w:rPr>
                <w:rFonts w:ascii="Calibri" w:eastAsia="Calibri" w:hAnsi="Calibri" w:cs="Arial"/>
                <w:color w:val="000000"/>
                <w:sz w:val="17"/>
                <w:szCs w:val="17"/>
              </w:rPr>
              <w:t>a high level</w:t>
            </w:r>
            <w:proofErr w:type="gramEnd"/>
            <w:r w:rsidRPr="002D2DED">
              <w:rPr>
                <w:rFonts w:ascii="Calibri" w:eastAsia="Calibri" w:hAnsi="Calibri" w:cs="Arial"/>
                <w:color w:val="000000"/>
                <w:sz w:val="17"/>
                <w:szCs w:val="17"/>
              </w:rPr>
              <w:t>, investing significant energy to achieve agreed objectives</w:t>
            </w:r>
          </w:p>
        </w:tc>
      </w:tr>
      <w:tr w:rsidR="007E1886" w:rsidRPr="002D2DED" w14:paraId="0108AA15" w14:textId="77777777" w:rsidTr="00676857">
        <w:tc>
          <w:tcPr>
            <w:tcW w:w="1843" w:type="dxa"/>
            <w:vMerge/>
            <w:tcBorders>
              <w:left w:val="single" w:sz="4" w:space="0" w:color="FFFFFF"/>
              <w:right w:val="single" w:sz="4" w:space="0" w:color="FFFFFF"/>
            </w:tcBorders>
            <w:shd w:val="clear" w:color="auto" w:fill="8064A2"/>
          </w:tcPr>
          <w:p w14:paraId="5B552DDE"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DCD88DE"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7E1886" w:rsidRPr="002D2DED" w14:paraId="3496339A" w14:textId="77777777" w:rsidTr="00676857">
        <w:tc>
          <w:tcPr>
            <w:tcW w:w="1843" w:type="dxa"/>
            <w:vMerge/>
            <w:tcBorders>
              <w:left w:val="single" w:sz="4" w:space="0" w:color="FFFFFF"/>
              <w:right w:val="single" w:sz="4" w:space="0" w:color="FFFFFF"/>
            </w:tcBorders>
            <w:shd w:val="clear" w:color="auto" w:fill="8064A2"/>
          </w:tcPr>
          <w:p w14:paraId="44719DCD"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5BFA7D3"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7E1886" w:rsidRPr="002D2DED" w14:paraId="16C7B8A9" w14:textId="77777777" w:rsidTr="00676857">
        <w:tc>
          <w:tcPr>
            <w:tcW w:w="1843" w:type="dxa"/>
            <w:vMerge/>
            <w:tcBorders>
              <w:left w:val="single" w:sz="4" w:space="0" w:color="FFFFFF"/>
              <w:right w:val="single" w:sz="4" w:space="0" w:color="FFFFFF"/>
            </w:tcBorders>
            <w:shd w:val="clear" w:color="auto" w:fill="8064A2"/>
          </w:tcPr>
          <w:p w14:paraId="01466EA5"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60F5F4D"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7E1886" w:rsidRPr="002D2DED" w14:paraId="1A8A865A" w14:textId="77777777" w:rsidTr="00676857">
        <w:tc>
          <w:tcPr>
            <w:tcW w:w="1843" w:type="dxa"/>
            <w:vMerge/>
            <w:tcBorders>
              <w:left w:val="single" w:sz="4" w:space="0" w:color="FFFFFF"/>
              <w:right w:val="single" w:sz="4" w:space="0" w:color="FFFFFF"/>
            </w:tcBorders>
            <w:shd w:val="clear" w:color="auto" w:fill="8064A2"/>
          </w:tcPr>
          <w:p w14:paraId="0703E666" w14:textId="77777777" w:rsidR="007E1886" w:rsidRPr="002D2DED" w:rsidRDefault="007E1886" w:rsidP="0067685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BAA97B3" w14:textId="77777777" w:rsidR="007E1886" w:rsidRPr="002D2DED" w:rsidRDefault="007E1886" w:rsidP="0067685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Upholds </w:t>
            </w:r>
            <w:proofErr w:type="gramStart"/>
            <w:r w:rsidRPr="002D2DED">
              <w:rPr>
                <w:rFonts w:ascii="Calibri" w:eastAsia="Calibri" w:hAnsi="Calibri" w:cs="Arial"/>
                <w:color w:val="000000"/>
                <w:sz w:val="17"/>
                <w:szCs w:val="17"/>
              </w:rPr>
              <w:t>high standards</w:t>
            </w:r>
            <w:proofErr w:type="gramEnd"/>
            <w:r w:rsidRPr="002D2DED">
              <w:rPr>
                <w:rFonts w:ascii="Calibri" w:eastAsia="Calibri" w:hAnsi="Calibri" w:cs="Arial"/>
                <w:color w:val="000000"/>
                <w:sz w:val="17"/>
                <w:szCs w:val="17"/>
              </w:rPr>
              <w:t xml:space="preserve"> of honesty, ethics and integrity</w:t>
            </w: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9C87" w14:textId="77777777" w:rsidR="006811D0" w:rsidRDefault="006811D0" w:rsidP="00584379">
    <w:pPr>
      <w:jc w:val="center"/>
      <w:rPr>
        <w:b/>
        <w:spacing w:val="-2"/>
        <w:sz w:val="16"/>
        <w:szCs w:val="16"/>
        <w:lang w:val="en-IE"/>
      </w:rPr>
    </w:pPr>
    <w:r w:rsidRPr="006811D0">
      <w:rPr>
        <w:b/>
        <w:spacing w:val="-2"/>
        <w:sz w:val="16"/>
        <w:szCs w:val="16"/>
        <w:lang w:val="en-IE"/>
      </w:rPr>
      <w:t xml:space="preserve">Product Owner </w:t>
    </w:r>
  </w:p>
  <w:p w14:paraId="6E9B1E0B" w14:textId="5FA48D1E"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0D7556"/>
    <w:multiLevelType w:val="hybridMultilevel"/>
    <w:tmpl w:val="58D8F35C"/>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DA6A01"/>
    <w:multiLevelType w:val="hybridMultilevel"/>
    <w:tmpl w:val="519058D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EF95C97"/>
    <w:multiLevelType w:val="hybridMultilevel"/>
    <w:tmpl w:val="E70085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86504423">
    <w:abstractNumId w:val="7"/>
  </w:num>
  <w:num w:numId="2" w16cid:durableId="1808669771">
    <w:abstractNumId w:val="21"/>
  </w:num>
  <w:num w:numId="3" w16cid:durableId="5262162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543507">
    <w:abstractNumId w:val="19"/>
  </w:num>
  <w:num w:numId="5" w16cid:durableId="85620493">
    <w:abstractNumId w:val="35"/>
  </w:num>
  <w:num w:numId="6" w16cid:durableId="1577397437">
    <w:abstractNumId w:val="16"/>
    <w:lvlOverride w:ilvl="0">
      <w:startOverride w:val="1"/>
    </w:lvlOverride>
    <w:lvlOverride w:ilvl="1"/>
    <w:lvlOverride w:ilvl="2"/>
    <w:lvlOverride w:ilvl="3"/>
    <w:lvlOverride w:ilvl="4"/>
    <w:lvlOverride w:ilvl="5"/>
    <w:lvlOverride w:ilvl="6"/>
    <w:lvlOverride w:ilvl="7"/>
    <w:lvlOverride w:ilvl="8"/>
  </w:num>
  <w:num w:numId="7" w16cid:durableId="1169758095">
    <w:abstractNumId w:val="20"/>
  </w:num>
  <w:num w:numId="8" w16cid:durableId="1078936863">
    <w:abstractNumId w:val="6"/>
  </w:num>
  <w:num w:numId="9" w16cid:durableId="218325222">
    <w:abstractNumId w:val="5"/>
  </w:num>
  <w:num w:numId="10" w16cid:durableId="405106040">
    <w:abstractNumId w:val="40"/>
  </w:num>
  <w:num w:numId="11" w16cid:durableId="500505829">
    <w:abstractNumId w:val="43"/>
  </w:num>
  <w:num w:numId="12" w16cid:durableId="1072657399">
    <w:abstractNumId w:val="38"/>
  </w:num>
  <w:num w:numId="13" w16cid:durableId="1977251286">
    <w:abstractNumId w:val="2"/>
  </w:num>
  <w:num w:numId="14" w16cid:durableId="329254480">
    <w:abstractNumId w:val="9"/>
  </w:num>
  <w:num w:numId="15" w16cid:durableId="767628146">
    <w:abstractNumId w:val="22"/>
  </w:num>
  <w:num w:numId="16" w16cid:durableId="860896056">
    <w:abstractNumId w:val="32"/>
  </w:num>
  <w:num w:numId="17" w16cid:durableId="916552125">
    <w:abstractNumId w:val="24"/>
  </w:num>
  <w:num w:numId="18" w16cid:durableId="560673886">
    <w:abstractNumId w:val="15"/>
  </w:num>
  <w:num w:numId="19" w16cid:durableId="2060473686">
    <w:abstractNumId w:val="8"/>
  </w:num>
  <w:num w:numId="20" w16cid:durableId="1117869213">
    <w:abstractNumId w:val="37"/>
  </w:num>
  <w:num w:numId="21" w16cid:durableId="1904825051">
    <w:abstractNumId w:val="39"/>
  </w:num>
  <w:num w:numId="22" w16cid:durableId="1621571711">
    <w:abstractNumId w:val="30"/>
  </w:num>
  <w:num w:numId="23" w16cid:durableId="1292202377">
    <w:abstractNumId w:val="31"/>
  </w:num>
  <w:num w:numId="24" w16cid:durableId="1757827735">
    <w:abstractNumId w:val="14"/>
  </w:num>
  <w:num w:numId="25" w16cid:durableId="1427921730">
    <w:abstractNumId w:val="17"/>
  </w:num>
  <w:num w:numId="26" w16cid:durableId="7370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231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7291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6038091">
    <w:abstractNumId w:val="12"/>
  </w:num>
  <w:num w:numId="30" w16cid:durableId="686297541">
    <w:abstractNumId w:val="0"/>
  </w:num>
  <w:num w:numId="31" w16cid:durableId="999961823">
    <w:abstractNumId w:val="10"/>
  </w:num>
  <w:num w:numId="32" w16cid:durableId="1765684624">
    <w:abstractNumId w:val="11"/>
  </w:num>
  <w:num w:numId="33" w16cid:durableId="224920863">
    <w:abstractNumId w:val="23"/>
  </w:num>
  <w:num w:numId="34" w16cid:durableId="1071544626">
    <w:abstractNumId w:val="18"/>
  </w:num>
  <w:num w:numId="35" w16cid:durableId="815225663">
    <w:abstractNumId w:val="3"/>
  </w:num>
  <w:num w:numId="36" w16cid:durableId="1917739138">
    <w:abstractNumId w:val="1"/>
  </w:num>
  <w:num w:numId="37" w16cid:durableId="1504736750">
    <w:abstractNumId w:val="34"/>
  </w:num>
  <w:num w:numId="38" w16cid:durableId="1252622084">
    <w:abstractNumId w:val="42"/>
  </w:num>
  <w:num w:numId="39" w16cid:durableId="736636862">
    <w:abstractNumId w:val="26"/>
  </w:num>
  <w:num w:numId="40" w16cid:durableId="1622959581">
    <w:abstractNumId w:val="4"/>
  </w:num>
  <w:num w:numId="41" w16cid:durableId="1011492599">
    <w:abstractNumId w:val="36"/>
  </w:num>
  <w:num w:numId="42" w16cid:durableId="1345595727">
    <w:abstractNumId w:val="41"/>
  </w:num>
  <w:num w:numId="43" w16cid:durableId="289635011">
    <w:abstractNumId w:val="27"/>
  </w:num>
  <w:num w:numId="44" w16cid:durableId="149257358">
    <w:abstractNumId w:val="25"/>
  </w:num>
  <w:num w:numId="45" w16cid:durableId="853106764">
    <w:abstractNumId w:val="44"/>
  </w:num>
  <w:num w:numId="46" w16cid:durableId="1088233387">
    <w:abstractNumId w:val="13"/>
  </w:num>
  <w:num w:numId="47" w16cid:durableId="472676722">
    <w:abstractNumId w:val="29"/>
  </w:num>
  <w:num w:numId="48" w16cid:durableId="1416635026">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069D0"/>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1CC"/>
    <w:rsid w:val="00243356"/>
    <w:rsid w:val="00243414"/>
    <w:rsid w:val="00250AE6"/>
    <w:rsid w:val="00254731"/>
    <w:rsid w:val="0025564F"/>
    <w:rsid w:val="00256479"/>
    <w:rsid w:val="00261B28"/>
    <w:rsid w:val="00264E65"/>
    <w:rsid w:val="00270418"/>
    <w:rsid w:val="002713BC"/>
    <w:rsid w:val="0027722F"/>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4FCD"/>
    <w:rsid w:val="00325270"/>
    <w:rsid w:val="003304EE"/>
    <w:rsid w:val="00330934"/>
    <w:rsid w:val="00332A35"/>
    <w:rsid w:val="0033429A"/>
    <w:rsid w:val="0033578B"/>
    <w:rsid w:val="00335A20"/>
    <w:rsid w:val="0033656B"/>
    <w:rsid w:val="00336A1D"/>
    <w:rsid w:val="00336A5B"/>
    <w:rsid w:val="003442A7"/>
    <w:rsid w:val="00344662"/>
    <w:rsid w:val="00346729"/>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407"/>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1D0"/>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E78D4"/>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5278"/>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188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6D08"/>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1C46"/>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3E59"/>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2277F"/>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0756"/>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27722F"/>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7E1886"/>
    <w:rPr>
      <w:color w:val="605E5C"/>
      <w:shd w:val="clear" w:color="auto" w:fill="E1DFDD"/>
    </w:rPr>
  </w:style>
  <w:style w:type="table" w:customStyle="1" w:styleId="TableGrid2">
    <w:name w:val="Table Grid2"/>
    <w:basedOn w:val="TableNormal"/>
    <w:next w:val="TableGrid"/>
    <w:uiPriority w:val="59"/>
    <w:rsid w:val="007E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2077</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15019</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4</cp:revision>
  <cp:lastPrinted>2020-02-17T16:01:00Z</cp:lastPrinted>
  <dcterms:created xsi:type="dcterms:W3CDTF">2024-11-06T16:14:00Z</dcterms:created>
  <dcterms:modified xsi:type="dcterms:W3CDTF">2024-11-06T18:33:00Z</dcterms:modified>
</cp:coreProperties>
</file>